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E7CAF" w14:textId="6F3FC1E4" w:rsidR="00880E67" w:rsidRPr="00870702" w:rsidRDefault="000C0B62" w:rsidP="00880E67">
      <w:pPr>
        <w:spacing w:after="0"/>
        <w:jc w:val="center"/>
        <w:rPr>
          <w:rFonts w:ascii="Arial" w:hAnsi="Arial" w:cs="Arial"/>
          <w:b/>
          <w:i/>
          <w:color w:val="44546A" w:themeColor="text2"/>
          <w:sz w:val="28"/>
          <w:szCs w:val="30"/>
        </w:rPr>
      </w:pPr>
      <w:r>
        <w:rPr>
          <w:rFonts w:ascii="Arial" w:hAnsi="Arial" w:cs="Arial"/>
          <w:b/>
          <w:i/>
          <w:noProof/>
          <w:color w:val="44546A" w:themeColor="text2"/>
          <w:sz w:val="28"/>
          <w:szCs w:val="30"/>
          <w:lang w:eastAsia="es-MX"/>
        </w:rPr>
        <w:drawing>
          <wp:anchor distT="0" distB="0" distL="114300" distR="114300" simplePos="0" relativeHeight="251725824" behindDoc="0" locked="0" layoutInCell="1" allowOverlap="1" wp14:anchorId="24E71263" wp14:editId="50283336">
            <wp:simplePos x="0" y="0"/>
            <wp:positionH relativeFrom="column">
              <wp:posOffset>-99634</wp:posOffset>
            </wp:positionH>
            <wp:positionV relativeFrom="paragraph">
              <wp:posOffset>-305298</wp:posOffset>
            </wp:positionV>
            <wp:extent cx="742315" cy="925195"/>
            <wp:effectExtent l="0" t="0" r="0" b="190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315" cy="925195"/>
                    </a:xfrm>
                    <a:prstGeom prst="rect">
                      <a:avLst/>
                    </a:prstGeom>
                  </pic:spPr>
                </pic:pic>
              </a:graphicData>
            </a:graphic>
            <wp14:sizeRelH relativeFrom="page">
              <wp14:pctWidth>0</wp14:pctWidth>
            </wp14:sizeRelH>
            <wp14:sizeRelV relativeFrom="page">
              <wp14:pctHeight>0</wp14:pctHeight>
            </wp14:sizeRelV>
          </wp:anchor>
        </w:drawing>
      </w:r>
      <w:r w:rsidR="00880E67" w:rsidRPr="00870702">
        <w:rPr>
          <w:rFonts w:ascii="Arial" w:hAnsi="Arial" w:cs="Arial"/>
          <w:b/>
          <w:i/>
          <w:noProof/>
          <w:color w:val="44546A" w:themeColor="text2"/>
          <w:sz w:val="28"/>
          <w:szCs w:val="30"/>
          <w:lang w:val="es-SV" w:eastAsia="es-SV"/>
        </w:rPr>
        <w:drawing>
          <wp:anchor distT="0" distB="0" distL="114300" distR="114300" simplePos="0" relativeHeight="251687936" behindDoc="0" locked="0" layoutInCell="1" allowOverlap="1" wp14:anchorId="04A1A6CF" wp14:editId="31418B31">
            <wp:simplePos x="0" y="0"/>
            <wp:positionH relativeFrom="margin">
              <wp:posOffset>5012055</wp:posOffset>
            </wp:positionH>
            <wp:positionV relativeFrom="margin">
              <wp:posOffset>-316230</wp:posOffset>
            </wp:positionV>
            <wp:extent cx="857250" cy="85915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7250" cy="8591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80E67" w:rsidRPr="00870702">
        <w:rPr>
          <w:rFonts w:ascii="Arial" w:hAnsi="Arial" w:cs="Arial"/>
          <w:b/>
          <w:color w:val="44546A" w:themeColor="text2"/>
          <w:sz w:val="28"/>
          <w:szCs w:val="30"/>
        </w:rPr>
        <w:t>Universidad de El Salvador</w:t>
      </w:r>
    </w:p>
    <w:p w14:paraId="7E223B82" w14:textId="77777777" w:rsidR="00880E67" w:rsidRPr="00870702" w:rsidRDefault="00880E67" w:rsidP="00880E67">
      <w:pPr>
        <w:spacing w:after="0"/>
        <w:jc w:val="center"/>
        <w:rPr>
          <w:rFonts w:ascii="Arial" w:hAnsi="Arial" w:cs="Arial"/>
          <w:b/>
          <w:i/>
          <w:color w:val="44546A" w:themeColor="text2"/>
          <w:sz w:val="24"/>
        </w:rPr>
      </w:pPr>
      <w:r w:rsidRPr="00870702">
        <w:rPr>
          <w:rFonts w:ascii="Arial" w:hAnsi="Arial" w:cs="Arial"/>
          <w:b/>
          <w:color w:val="44546A" w:themeColor="text2"/>
          <w:sz w:val="24"/>
        </w:rPr>
        <w:t>Facultad de Ciencias Económicas</w:t>
      </w:r>
    </w:p>
    <w:p w14:paraId="17DD5B4C" w14:textId="6877F7E1" w:rsidR="00880E67" w:rsidRPr="005E11E8" w:rsidRDefault="00880E67" w:rsidP="005E11E8">
      <w:pPr>
        <w:spacing w:after="0" w:line="240" w:lineRule="auto"/>
        <w:jc w:val="center"/>
        <w:rPr>
          <w:rFonts w:ascii="Arial" w:hAnsi="Arial" w:cs="Arial"/>
          <w:b/>
          <w:i/>
          <w:sz w:val="16"/>
          <w:szCs w:val="16"/>
        </w:rPr>
      </w:pPr>
      <w:r>
        <w:rPr>
          <w:rFonts w:ascii="Arial" w:hAnsi="Arial" w:cs="Arial"/>
          <w:b/>
          <w:i/>
          <w:noProof/>
          <w:sz w:val="16"/>
          <w:szCs w:val="16"/>
          <w:lang w:val="es-SV" w:eastAsia="es-SV"/>
        </w:rPr>
        <mc:AlternateContent>
          <mc:Choice Requires="wps">
            <w:drawing>
              <wp:anchor distT="0" distB="0" distL="114300" distR="114300" simplePos="0" relativeHeight="251685888" behindDoc="0" locked="0" layoutInCell="1" allowOverlap="1" wp14:anchorId="7FB2D602" wp14:editId="0AC907EF">
                <wp:simplePos x="0" y="0"/>
                <wp:positionH relativeFrom="column">
                  <wp:posOffset>853440</wp:posOffset>
                </wp:positionH>
                <wp:positionV relativeFrom="paragraph">
                  <wp:posOffset>21590</wp:posOffset>
                </wp:positionV>
                <wp:extent cx="4095750" cy="9525"/>
                <wp:effectExtent l="19050" t="19050" r="19050" b="2857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95750" cy="9525"/>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CCC34" id="Line 4"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1.7pt" to="389.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" strokecolor="navy" strokeweight="2.25pt"/>
            </w:pict>
          </mc:Fallback>
        </mc:AlternateContent>
      </w:r>
    </w:p>
    <w:p w14:paraId="497AE942" w14:textId="77777777" w:rsidR="005E11E8" w:rsidRDefault="005E11E8" w:rsidP="00723A89">
      <w:pPr>
        <w:spacing w:after="0"/>
        <w:jc w:val="center"/>
        <w:rPr>
          <w:rFonts w:cstheme="minorHAnsi"/>
          <w:b/>
          <w:sz w:val="36"/>
        </w:rPr>
      </w:pPr>
    </w:p>
    <w:p w14:paraId="22042424" w14:textId="47AD9E61" w:rsidR="004B64E6" w:rsidRPr="007548A3" w:rsidRDefault="004E14E6" w:rsidP="00723A89">
      <w:pPr>
        <w:spacing w:after="0"/>
        <w:jc w:val="center"/>
        <w:rPr>
          <w:rFonts w:cstheme="minorHAnsi"/>
          <w:b/>
          <w:sz w:val="36"/>
        </w:rPr>
      </w:pPr>
      <w:r>
        <w:rPr>
          <w:rFonts w:cstheme="minorHAnsi"/>
          <w:b/>
          <w:sz w:val="36"/>
        </w:rPr>
        <w:t xml:space="preserve">REFLEXIONES SOBRE </w:t>
      </w:r>
      <w:r w:rsidR="00723A89" w:rsidRPr="007548A3">
        <w:rPr>
          <w:rFonts w:cstheme="minorHAnsi"/>
          <w:b/>
          <w:sz w:val="36"/>
        </w:rPr>
        <w:t>EL PRESUPUESTO 2022</w:t>
      </w:r>
    </w:p>
    <w:p w14:paraId="13EB2F08" w14:textId="77777777" w:rsidR="00723A89" w:rsidRDefault="00723A89" w:rsidP="00723A89">
      <w:pPr>
        <w:spacing w:after="0"/>
        <w:jc w:val="both"/>
        <w:rPr>
          <w:rFonts w:cstheme="minorHAnsi"/>
        </w:rPr>
      </w:pPr>
    </w:p>
    <w:p w14:paraId="4077F0FE" w14:textId="77777777" w:rsidR="00723A89" w:rsidRPr="007548A3" w:rsidRDefault="00723A89" w:rsidP="00723A89">
      <w:pPr>
        <w:spacing w:after="0"/>
        <w:jc w:val="both"/>
        <w:rPr>
          <w:rFonts w:cstheme="minorHAnsi"/>
        </w:rPr>
      </w:pPr>
    </w:p>
    <w:p w14:paraId="546504C2" w14:textId="6D498D02" w:rsidR="00143E00" w:rsidRPr="007548A3" w:rsidRDefault="00420C8A" w:rsidP="00143E00">
      <w:pPr>
        <w:spacing w:after="0" w:line="276" w:lineRule="auto"/>
        <w:jc w:val="both"/>
        <w:rPr>
          <w:rFonts w:cstheme="minorHAnsi"/>
        </w:rPr>
      </w:pPr>
      <w:r>
        <w:rPr>
          <w:rFonts w:cstheme="minorHAnsi"/>
        </w:rPr>
        <w:t xml:space="preserve">El análisis del </w:t>
      </w:r>
      <w:r w:rsidR="00723A89" w:rsidRPr="007548A3">
        <w:rPr>
          <w:rFonts w:cstheme="minorHAnsi"/>
        </w:rPr>
        <w:t>contenido del Proyecto de Presupuesto para el año 2022,</w:t>
      </w:r>
      <w:r w:rsidR="005E11E8">
        <w:rPr>
          <w:rFonts w:cstheme="minorHAnsi"/>
        </w:rPr>
        <w:t xml:space="preserve"> según la Escuela de Economía de la F.CC.EE.,</w:t>
      </w:r>
      <w:r>
        <w:rPr>
          <w:rFonts w:cstheme="minorHAnsi"/>
        </w:rPr>
        <w:t xml:space="preserve"> muestra un monto estimado de </w:t>
      </w:r>
      <w:r w:rsidR="00143E00" w:rsidRPr="007548A3">
        <w:rPr>
          <w:rFonts w:cstheme="minorHAnsi"/>
        </w:rPr>
        <w:t>$7,967.7 millones,</w:t>
      </w:r>
      <w:r>
        <w:rPr>
          <w:rFonts w:cstheme="minorHAnsi"/>
        </w:rPr>
        <w:t xml:space="preserve"> el cual contiene </w:t>
      </w:r>
      <w:r w:rsidR="00143E00" w:rsidRPr="007548A3">
        <w:rPr>
          <w:rFonts w:cstheme="minorHAnsi"/>
        </w:rPr>
        <w:t>un crecimiento de $544.1 millones, equivalente a 7.3%</w:t>
      </w:r>
      <w:r w:rsidR="00A55DD8" w:rsidRPr="007548A3">
        <w:rPr>
          <w:rFonts w:cstheme="minorHAnsi"/>
        </w:rPr>
        <w:t xml:space="preserve"> con relación al año 2021</w:t>
      </w:r>
      <w:r w:rsidR="00143E00" w:rsidRPr="007548A3">
        <w:rPr>
          <w:rFonts w:cstheme="minorHAnsi"/>
        </w:rPr>
        <w:t>;</w:t>
      </w:r>
      <w:r w:rsidR="004E14E6">
        <w:rPr>
          <w:rFonts w:cstheme="minorHAnsi"/>
        </w:rPr>
        <w:t xml:space="preserve"> y</w:t>
      </w:r>
      <w:r w:rsidR="0045593D">
        <w:rPr>
          <w:rFonts w:cstheme="minorHAnsi"/>
        </w:rPr>
        <w:t>,</w:t>
      </w:r>
      <w:r w:rsidR="004E14E6">
        <w:rPr>
          <w:rFonts w:cstheme="minorHAnsi"/>
        </w:rPr>
        <w:t xml:space="preserve"> según la </w:t>
      </w:r>
      <w:r w:rsidR="00143E00" w:rsidRPr="007548A3">
        <w:rPr>
          <w:rFonts w:cstheme="minorHAnsi"/>
        </w:rPr>
        <w:t>composición</w:t>
      </w:r>
      <w:r w:rsidR="004E14E6">
        <w:rPr>
          <w:rFonts w:cstheme="minorHAnsi"/>
        </w:rPr>
        <w:t xml:space="preserve"> económica</w:t>
      </w:r>
      <w:r w:rsidR="00143E00" w:rsidRPr="007548A3">
        <w:rPr>
          <w:rFonts w:cstheme="minorHAnsi"/>
        </w:rPr>
        <w:t xml:space="preserve"> del</w:t>
      </w:r>
      <w:r w:rsidR="004E14E6">
        <w:rPr>
          <w:rFonts w:cstheme="minorHAnsi"/>
        </w:rPr>
        <w:t xml:space="preserve"> proyecto de</w:t>
      </w:r>
      <w:r w:rsidR="00143E00" w:rsidRPr="007548A3">
        <w:rPr>
          <w:rFonts w:cstheme="minorHAnsi"/>
        </w:rPr>
        <w:t xml:space="preserve"> presupuesto</w:t>
      </w:r>
      <w:r>
        <w:rPr>
          <w:rFonts w:cstheme="minorHAnsi"/>
        </w:rPr>
        <w:t xml:space="preserve"> presentado por el Ministerio de Hacienda</w:t>
      </w:r>
      <w:r w:rsidR="004E14E6">
        <w:rPr>
          <w:rFonts w:cstheme="minorHAnsi"/>
        </w:rPr>
        <w:t xml:space="preserve"> a la Asamblea Legislativa, se puede obtener un conjunto de </w:t>
      </w:r>
      <w:r>
        <w:rPr>
          <w:rFonts w:cstheme="minorHAnsi"/>
        </w:rPr>
        <w:t xml:space="preserve">reflexiones y </w:t>
      </w:r>
      <w:r w:rsidR="00143E00" w:rsidRPr="007548A3">
        <w:rPr>
          <w:rFonts w:cstheme="minorHAnsi"/>
        </w:rPr>
        <w:t>aristas</w:t>
      </w:r>
      <w:r>
        <w:rPr>
          <w:rFonts w:cstheme="minorHAnsi"/>
        </w:rPr>
        <w:t>, entre ellas:</w:t>
      </w:r>
    </w:p>
    <w:p w14:paraId="42746111" w14:textId="77777777" w:rsidR="00143E00" w:rsidRPr="007548A3" w:rsidRDefault="00143E00" w:rsidP="00143E00">
      <w:pPr>
        <w:spacing w:after="0" w:line="276" w:lineRule="auto"/>
        <w:jc w:val="both"/>
        <w:rPr>
          <w:rFonts w:cstheme="minorHAnsi"/>
        </w:rPr>
      </w:pPr>
    </w:p>
    <w:p w14:paraId="05BC93CF" w14:textId="77777777" w:rsidR="00143E00" w:rsidRPr="007548A3" w:rsidRDefault="00143E00" w:rsidP="00143E00">
      <w:pPr>
        <w:spacing w:after="0" w:line="276" w:lineRule="auto"/>
        <w:jc w:val="both"/>
        <w:rPr>
          <w:rFonts w:cstheme="minorHAnsi"/>
          <w:b/>
        </w:rPr>
      </w:pPr>
      <w:r w:rsidRPr="007548A3">
        <w:rPr>
          <w:rFonts w:cstheme="minorHAnsi"/>
          <w:b/>
        </w:rPr>
        <w:t>Ingresos:</w:t>
      </w:r>
    </w:p>
    <w:p w14:paraId="2E7F1C61" w14:textId="77777777" w:rsidR="00143E00" w:rsidRPr="007548A3" w:rsidRDefault="00143E00" w:rsidP="00143E00">
      <w:pPr>
        <w:spacing w:after="0" w:line="276" w:lineRule="auto"/>
        <w:jc w:val="both"/>
        <w:rPr>
          <w:rFonts w:cstheme="minorHAnsi"/>
          <w:b/>
        </w:rPr>
      </w:pPr>
    </w:p>
    <w:p w14:paraId="5D708735" w14:textId="771B0177" w:rsidR="00A87A50" w:rsidRDefault="00DE6FA8" w:rsidP="00A87A50">
      <w:pPr>
        <w:spacing w:after="0" w:line="276" w:lineRule="auto"/>
        <w:jc w:val="both"/>
        <w:rPr>
          <w:rFonts w:cstheme="minorHAnsi"/>
          <w:b/>
        </w:rPr>
      </w:pPr>
      <w:r w:rsidRPr="007548A3">
        <w:rPr>
          <w:rFonts w:cstheme="minorHAnsi"/>
          <w:noProof/>
          <w:lang w:val="es-SV" w:eastAsia="es-SV"/>
        </w:rPr>
        <w:drawing>
          <wp:anchor distT="0" distB="0" distL="114300" distR="114300" simplePos="0" relativeHeight="251658240" behindDoc="0" locked="0" layoutInCell="1" allowOverlap="1" wp14:anchorId="5D422361" wp14:editId="4D542BFC">
            <wp:simplePos x="0" y="0"/>
            <wp:positionH relativeFrom="margin">
              <wp:posOffset>2168221</wp:posOffset>
            </wp:positionH>
            <wp:positionV relativeFrom="margin">
              <wp:posOffset>3479414</wp:posOffset>
            </wp:positionV>
            <wp:extent cx="3535680" cy="2924175"/>
            <wp:effectExtent l="0" t="0" r="7620" b="0"/>
            <wp:wrapSquare wrapText="bothSides"/>
            <wp:docPr id="1" name="Gráfico 1">
              <a:extLst xmlns:a="http://schemas.openxmlformats.org/drawingml/2006/main">
                <a:ext uri="{FF2B5EF4-FFF2-40B4-BE49-F238E27FC236}">
                  <a16:creationId xmlns:a16="http://schemas.microsoft.com/office/drawing/2014/main" id="{00000000-0008-0000-0600-000087A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143E00" w:rsidRPr="007548A3">
        <w:rPr>
          <w:rFonts w:cstheme="minorHAnsi"/>
        </w:rPr>
        <w:t>Los ingresos estimados para el año 2022</w:t>
      </w:r>
      <w:r w:rsidR="002474AE" w:rsidRPr="007548A3">
        <w:rPr>
          <w:rFonts w:cstheme="minorHAnsi"/>
        </w:rPr>
        <w:t xml:space="preserve"> ascienden a $7,967.7 millones, en</w:t>
      </w:r>
      <w:r>
        <w:rPr>
          <w:rFonts w:cstheme="minorHAnsi"/>
        </w:rPr>
        <w:t xml:space="preserve"> donde </w:t>
      </w:r>
      <w:r w:rsidR="00225099" w:rsidRPr="007548A3">
        <w:rPr>
          <w:rFonts w:cstheme="minorHAnsi"/>
        </w:rPr>
        <w:t>los ingresos tributarios</w:t>
      </w:r>
      <w:r>
        <w:rPr>
          <w:rFonts w:cstheme="minorHAnsi"/>
        </w:rPr>
        <w:t xml:space="preserve"> </w:t>
      </w:r>
      <w:r w:rsidR="0045593D">
        <w:rPr>
          <w:rFonts w:cstheme="minorHAnsi"/>
        </w:rPr>
        <w:t>son de</w:t>
      </w:r>
      <w:r>
        <w:rPr>
          <w:rFonts w:cstheme="minorHAnsi"/>
        </w:rPr>
        <w:t xml:space="preserve">  </w:t>
      </w:r>
      <w:r w:rsidR="009A2523" w:rsidRPr="007548A3">
        <w:rPr>
          <w:rFonts w:cstheme="minorHAnsi"/>
        </w:rPr>
        <w:t>$6,148.2 millones,</w:t>
      </w:r>
      <w:r w:rsidRPr="00DE6FA8">
        <w:rPr>
          <w:rFonts w:cstheme="minorHAnsi"/>
        </w:rPr>
        <w:t xml:space="preserve"> </w:t>
      </w:r>
      <w:r>
        <w:rPr>
          <w:rFonts w:cstheme="minorHAnsi"/>
        </w:rPr>
        <w:t xml:space="preserve">siendo </w:t>
      </w:r>
      <w:r w:rsidRPr="007548A3">
        <w:rPr>
          <w:rFonts w:cstheme="minorHAnsi"/>
        </w:rPr>
        <w:t>el 77.2% del total de ingresos proyectado para el año 2022</w:t>
      </w:r>
      <w:r>
        <w:rPr>
          <w:rFonts w:cstheme="minorHAnsi"/>
        </w:rPr>
        <w:t xml:space="preserve">, y con un incremento de </w:t>
      </w:r>
      <w:r w:rsidR="009A2523" w:rsidRPr="007548A3">
        <w:rPr>
          <w:rFonts w:cstheme="minorHAnsi"/>
        </w:rPr>
        <w:t>$978.3 millones</w:t>
      </w:r>
      <w:r w:rsidR="0045593D">
        <w:rPr>
          <w:rFonts w:cstheme="minorHAnsi"/>
        </w:rPr>
        <w:t>,</w:t>
      </w:r>
      <w:r>
        <w:rPr>
          <w:rFonts w:cstheme="minorHAnsi"/>
        </w:rPr>
        <w:t xml:space="preserve"> e</w:t>
      </w:r>
      <w:r w:rsidR="009A2523" w:rsidRPr="007548A3">
        <w:rPr>
          <w:rFonts w:cstheme="minorHAnsi"/>
        </w:rPr>
        <w:t>quivale</w:t>
      </w:r>
      <w:r>
        <w:rPr>
          <w:rFonts w:cstheme="minorHAnsi"/>
        </w:rPr>
        <w:t xml:space="preserve">nte al </w:t>
      </w:r>
      <w:r w:rsidR="009A2523" w:rsidRPr="007548A3">
        <w:rPr>
          <w:rFonts w:cstheme="minorHAnsi"/>
        </w:rPr>
        <w:t>18.9% respecto al año 2021</w:t>
      </w:r>
      <w:r w:rsidR="00A55DD8" w:rsidRPr="007548A3">
        <w:rPr>
          <w:rFonts w:cstheme="minorHAnsi"/>
        </w:rPr>
        <w:t>.</w:t>
      </w:r>
      <w:r w:rsidR="00365361" w:rsidRPr="007548A3">
        <w:rPr>
          <w:rFonts w:cstheme="minorHAnsi"/>
        </w:rPr>
        <w:t xml:space="preserve"> Por otro lado, el f</w:t>
      </w:r>
      <w:r w:rsidR="00225099" w:rsidRPr="007548A3">
        <w:rPr>
          <w:rFonts w:cstheme="minorHAnsi"/>
        </w:rPr>
        <w:t>inanciamiento</w:t>
      </w:r>
      <w:r>
        <w:rPr>
          <w:rFonts w:cstheme="minorHAnsi"/>
        </w:rPr>
        <w:t xml:space="preserve"> esperado</w:t>
      </w:r>
      <w:r w:rsidR="009A2523" w:rsidRPr="007548A3">
        <w:rPr>
          <w:rFonts w:cstheme="minorHAnsi"/>
        </w:rPr>
        <w:t xml:space="preserve"> para el año 2022</w:t>
      </w:r>
      <w:r>
        <w:rPr>
          <w:rFonts w:cstheme="minorHAnsi"/>
        </w:rPr>
        <w:t xml:space="preserve"> es de </w:t>
      </w:r>
      <w:r w:rsidR="009A2523" w:rsidRPr="007548A3">
        <w:rPr>
          <w:rFonts w:cstheme="minorHAnsi"/>
        </w:rPr>
        <w:t xml:space="preserve">$ 1,209 millones, </w:t>
      </w:r>
      <w:r>
        <w:rPr>
          <w:rFonts w:cstheme="minorHAnsi"/>
        </w:rPr>
        <w:t>mostrando u</w:t>
      </w:r>
      <w:r w:rsidR="009A2523" w:rsidRPr="007548A3">
        <w:rPr>
          <w:rFonts w:cstheme="minorHAnsi"/>
        </w:rPr>
        <w:t xml:space="preserve">na </w:t>
      </w:r>
      <w:r w:rsidR="00A55DD8" w:rsidRPr="007548A3">
        <w:rPr>
          <w:rFonts w:cstheme="minorHAnsi"/>
        </w:rPr>
        <w:t xml:space="preserve">reducción </w:t>
      </w:r>
      <w:r w:rsidR="009A2523" w:rsidRPr="007548A3">
        <w:rPr>
          <w:rFonts w:cstheme="minorHAnsi"/>
        </w:rPr>
        <w:t>de $203.9 millones</w:t>
      </w:r>
      <w:r w:rsidR="00420C8A">
        <w:rPr>
          <w:rFonts w:cstheme="minorHAnsi"/>
        </w:rPr>
        <w:t>, respecto al año 2022,</w:t>
      </w:r>
      <w:r w:rsidR="009A2523" w:rsidRPr="007548A3">
        <w:rPr>
          <w:rFonts w:cstheme="minorHAnsi"/>
        </w:rPr>
        <w:t xml:space="preserve"> </w:t>
      </w:r>
      <w:r w:rsidR="00A55DD8" w:rsidRPr="007548A3">
        <w:rPr>
          <w:rFonts w:cstheme="minorHAnsi"/>
        </w:rPr>
        <w:t>lo que equivale a una disminución de</w:t>
      </w:r>
      <w:r w:rsidR="009A2523" w:rsidRPr="007548A3">
        <w:rPr>
          <w:rFonts w:cstheme="minorHAnsi"/>
        </w:rPr>
        <w:t>l 14.4%</w:t>
      </w:r>
      <w:r w:rsidR="00A55DD8" w:rsidRPr="007548A3">
        <w:rPr>
          <w:rFonts w:cstheme="minorHAnsi"/>
        </w:rPr>
        <w:t xml:space="preserve">. Dicho financiamiento </w:t>
      </w:r>
      <w:r w:rsidR="009A2523" w:rsidRPr="007548A3">
        <w:rPr>
          <w:rFonts w:cstheme="minorHAnsi"/>
        </w:rPr>
        <w:t xml:space="preserve">representa el </w:t>
      </w:r>
      <w:r w:rsidR="00225099" w:rsidRPr="007548A3">
        <w:rPr>
          <w:rFonts w:cstheme="minorHAnsi"/>
        </w:rPr>
        <w:t>15.2%</w:t>
      </w:r>
      <w:r w:rsidR="009A2523" w:rsidRPr="007548A3">
        <w:rPr>
          <w:rFonts w:cstheme="minorHAnsi"/>
        </w:rPr>
        <w:t xml:space="preserve"> del total de ingresos</w:t>
      </w:r>
      <w:r w:rsidR="00A55DD8" w:rsidRPr="007548A3">
        <w:rPr>
          <w:rFonts w:cstheme="minorHAnsi"/>
        </w:rPr>
        <w:t xml:space="preserve"> esperados para el año en estudio</w:t>
      </w:r>
      <w:r w:rsidR="00103980">
        <w:rPr>
          <w:rFonts w:cstheme="minorHAnsi"/>
        </w:rPr>
        <w:t xml:space="preserve">; lo </w:t>
      </w:r>
      <w:r w:rsidR="009A2523" w:rsidRPr="007548A3">
        <w:rPr>
          <w:rFonts w:cstheme="minorHAnsi"/>
        </w:rPr>
        <w:t>observable</w:t>
      </w:r>
      <w:r w:rsidR="00103980">
        <w:rPr>
          <w:rFonts w:cstheme="minorHAnsi"/>
        </w:rPr>
        <w:t xml:space="preserve"> del financiamiento es el impacto que tiene sobre </w:t>
      </w:r>
      <w:r w:rsidR="009A2523" w:rsidRPr="007548A3">
        <w:rPr>
          <w:rFonts w:cstheme="minorHAnsi"/>
        </w:rPr>
        <w:t>e</w:t>
      </w:r>
      <w:r w:rsidR="002474AE" w:rsidRPr="007548A3">
        <w:rPr>
          <w:rFonts w:cstheme="minorHAnsi"/>
        </w:rPr>
        <w:t>l saldo de</w:t>
      </w:r>
      <w:r w:rsidR="009A2523" w:rsidRPr="007548A3">
        <w:rPr>
          <w:rFonts w:cstheme="minorHAnsi"/>
        </w:rPr>
        <w:t xml:space="preserve"> la deuda pública,</w:t>
      </w:r>
      <w:r w:rsidR="00A55DD8" w:rsidRPr="007548A3">
        <w:rPr>
          <w:rFonts w:cstheme="minorHAnsi"/>
        </w:rPr>
        <w:t xml:space="preserve"> esto </w:t>
      </w:r>
      <w:r w:rsidR="007375A0">
        <w:rPr>
          <w:rFonts w:cstheme="minorHAnsi"/>
        </w:rPr>
        <w:t xml:space="preserve">es </w:t>
      </w:r>
      <w:r w:rsidR="00A55DD8" w:rsidRPr="007548A3">
        <w:rPr>
          <w:rFonts w:cstheme="minorHAnsi"/>
        </w:rPr>
        <w:t>porque</w:t>
      </w:r>
      <w:r w:rsidR="007375A0">
        <w:rPr>
          <w:rFonts w:cstheme="minorHAnsi"/>
        </w:rPr>
        <w:t>,</w:t>
      </w:r>
      <w:r w:rsidR="00A55DD8" w:rsidRPr="007548A3">
        <w:rPr>
          <w:rFonts w:cstheme="minorHAnsi"/>
        </w:rPr>
        <w:t xml:space="preserve"> s</w:t>
      </w:r>
      <w:r w:rsidR="0016515F" w:rsidRPr="007548A3">
        <w:rPr>
          <w:rFonts w:cstheme="minorHAnsi"/>
        </w:rPr>
        <w:t>i bien es cierto</w:t>
      </w:r>
      <w:r w:rsidR="00A55DD8" w:rsidRPr="007548A3">
        <w:rPr>
          <w:rFonts w:cstheme="minorHAnsi"/>
        </w:rPr>
        <w:t xml:space="preserve"> un </w:t>
      </w:r>
      <w:r w:rsidR="0016515F" w:rsidRPr="007548A3">
        <w:rPr>
          <w:rFonts w:cstheme="minorHAnsi"/>
        </w:rPr>
        <w:t>monto</w:t>
      </w:r>
      <w:r w:rsidR="00A55DD8" w:rsidRPr="007548A3">
        <w:rPr>
          <w:rFonts w:cstheme="minorHAnsi"/>
        </w:rPr>
        <w:t xml:space="preserve"> de</w:t>
      </w:r>
      <w:r w:rsidR="0016515F" w:rsidRPr="007548A3">
        <w:rPr>
          <w:rFonts w:cstheme="minorHAnsi"/>
        </w:rPr>
        <w:t xml:space="preserve"> $710.6 millones, </w:t>
      </w:r>
      <w:r w:rsidR="007375A0">
        <w:rPr>
          <w:rFonts w:cstheme="minorHAnsi"/>
        </w:rPr>
        <w:t xml:space="preserve">son </w:t>
      </w:r>
      <w:r w:rsidR="00A55DD8" w:rsidRPr="007548A3">
        <w:rPr>
          <w:rFonts w:cstheme="minorHAnsi"/>
        </w:rPr>
        <w:t>préstamos</w:t>
      </w:r>
      <w:r w:rsidR="002474AE" w:rsidRPr="007548A3">
        <w:rPr>
          <w:rFonts w:cstheme="minorHAnsi"/>
        </w:rPr>
        <w:t xml:space="preserve"> que </w:t>
      </w:r>
      <w:r w:rsidR="00B8608A" w:rsidRPr="007548A3">
        <w:rPr>
          <w:rFonts w:cstheme="minorHAnsi"/>
        </w:rPr>
        <w:t>están</w:t>
      </w:r>
      <w:r w:rsidR="00A55DD8" w:rsidRPr="007548A3">
        <w:rPr>
          <w:rFonts w:cstheme="minorHAnsi"/>
        </w:rPr>
        <w:t xml:space="preserve"> aprobados</w:t>
      </w:r>
      <w:r w:rsidR="0045593D">
        <w:rPr>
          <w:rFonts w:cstheme="minorHAnsi"/>
        </w:rPr>
        <w:t>;</w:t>
      </w:r>
      <w:r w:rsidR="002738C5" w:rsidRPr="007548A3">
        <w:rPr>
          <w:rFonts w:cstheme="minorHAnsi"/>
        </w:rPr>
        <w:t xml:space="preserve"> </w:t>
      </w:r>
      <w:r w:rsidR="007375A0">
        <w:rPr>
          <w:rFonts w:cstheme="minorHAnsi"/>
        </w:rPr>
        <w:t xml:space="preserve">el diferencial </w:t>
      </w:r>
      <w:r w:rsidR="00CE45A2">
        <w:rPr>
          <w:rFonts w:cstheme="minorHAnsi"/>
        </w:rPr>
        <w:t xml:space="preserve">de </w:t>
      </w:r>
      <w:r w:rsidR="002738C5" w:rsidRPr="007548A3">
        <w:rPr>
          <w:rFonts w:cstheme="minorHAnsi"/>
        </w:rPr>
        <w:t>$498.4 millones de financiamiento titulado</w:t>
      </w:r>
      <w:r w:rsidR="00A55DD8" w:rsidRPr="007548A3">
        <w:rPr>
          <w:rFonts w:cstheme="minorHAnsi"/>
        </w:rPr>
        <w:t>, es un monto que se sumaría al saldo de la deuda</w:t>
      </w:r>
      <w:r w:rsidR="00420C8A">
        <w:rPr>
          <w:rFonts w:cstheme="minorHAnsi"/>
        </w:rPr>
        <w:t xml:space="preserve"> pública</w:t>
      </w:r>
      <w:r w:rsidR="0016515F" w:rsidRPr="007548A3">
        <w:rPr>
          <w:rFonts w:cstheme="minorHAnsi"/>
        </w:rPr>
        <w:t xml:space="preserve">. </w:t>
      </w:r>
      <w:r w:rsidR="00A55DD8" w:rsidRPr="007548A3">
        <w:rPr>
          <w:rFonts w:cstheme="minorHAnsi"/>
        </w:rPr>
        <w:t>¿</w:t>
      </w:r>
      <w:r w:rsidR="0016515F" w:rsidRPr="007548A3">
        <w:rPr>
          <w:rFonts w:cstheme="minorHAnsi"/>
        </w:rPr>
        <w:t>P</w:t>
      </w:r>
      <w:r w:rsidR="009A2523" w:rsidRPr="007548A3">
        <w:rPr>
          <w:rFonts w:cstheme="minorHAnsi"/>
        </w:rPr>
        <w:t>or</w:t>
      </w:r>
      <w:r w:rsidR="005E11E8">
        <w:rPr>
          <w:rFonts w:cstheme="minorHAnsi"/>
        </w:rPr>
        <w:t xml:space="preserve"> </w:t>
      </w:r>
      <w:r w:rsidR="009A2523" w:rsidRPr="007548A3">
        <w:rPr>
          <w:rFonts w:cstheme="minorHAnsi"/>
        </w:rPr>
        <w:t>qu</w:t>
      </w:r>
      <w:r w:rsidR="005E11E8">
        <w:rPr>
          <w:rFonts w:cstheme="minorHAnsi"/>
        </w:rPr>
        <w:t>é</w:t>
      </w:r>
      <w:r w:rsidR="009A2523" w:rsidRPr="007548A3">
        <w:rPr>
          <w:rFonts w:cstheme="minorHAnsi"/>
        </w:rPr>
        <w:t xml:space="preserve"> observable</w:t>
      </w:r>
      <w:r w:rsidR="00A55DD8" w:rsidRPr="007548A3">
        <w:rPr>
          <w:rFonts w:cstheme="minorHAnsi"/>
        </w:rPr>
        <w:t>?</w:t>
      </w:r>
      <w:r w:rsidR="00CE45A2">
        <w:rPr>
          <w:rFonts w:cstheme="minorHAnsi"/>
        </w:rPr>
        <w:t xml:space="preserve"> </w:t>
      </w:r>
      <w:r w:rsidR="005E11E8">
        <w:rPr>
          <w:rFonts w:cstheme="minorHAnsi"/>
        </w:rPr>
        <w:t>P</w:t>
      </w:r>
      <w:r w:rsidR="00CE45A2">
        <w:rPr>
          <w:rFonts w:cstheme="minorHAnsi"/>
        </w:rPr>
        <w:t>orque presiona el servicio de la deuda pública y</w:t>
      </w:r>
      <w:r w:rsidR="0045593D">
        <w:rPr>
          <w:rFonts w:cstheme="minorHAnsi"/>
        </w:rPr>
        <w:t>,</w:t>
      </w:r>
      <w:r w:rsidR="00CE45A2">
        <w:rPr>
          <w:rFonts w:cstheme="minorHAnsi"/>
        </w:rPr>
        <w:t xml:space="preserve"> aunado a esto</w:t>
      </w:r>
      <w:r w:rsidR="0045593D">
        <w:rPr>
          <w:rFonts w:cstheme="minorHAnsi"/>
        </w:rPr>
        <w:t>,</w:t>
      </w:r>
      <w:r w:rsidR="00CE45A2">
        <w:rPr>
          <w:rFonts w:cstheme="minorHAnsi"/>
        </w:rPr>
        <w:t xml:space="preserve"> </w:t>
      </w:r>
      <w:r w:rsidR="0016515F" w:rsidRPr="007548A3">
        <w:rPr>
          <w:rFonts w:cstheme="minorHAnsi"/>
        </w:rPr>
        <w:t xml:space="preserve">durante los últimos </w:t>
      </w:r>
      <w:r w:rsidR="009A2523" w:rsidRPr="007548A3">
        <w:rPr>
          <w:rFonts w:cstheme="minorHAnsi"/>
        </w:rPr>
        <w:t>3 años</w:t>
      </w:r>
      <w:r w:rsidR="0016515F" w:rsidRPr="007548A3">
        <w:rPr>
          <w:rFonts w:cstheme="minorHAnsi"/>
        </w:rPr>
        <w:t xml:space="preserve"> se ha utilizado deuda titulada</w:t>
      </w:r>
      <w:r w:rsidR="00CE45A2">
        <w:rPr>
          <w:rFonts w:cstheme="minorHAnsi"/>
        </w:rPr>
        <w:t xml:space="preserve">, lo cual </w:t>
      </w:r>
      <w:r w:rsidR="0016515F" w:rsidRPr="007548A3">
        <w:rPr>
          <w:rFonts w:cstheme="minorHAnsi"/>
        </w:rPr>
        <w:t>ha incrementado el saldo</w:t>
      </w:r>
      <w:r w:rsidR="00CE45A2">
        <w:rPr>
          <w:rFonts w:cstheme="minorHAnsi"/>
        </w:rPr>
        <w:t xml:space="preserve"> de la deuda pública. Para el mes de </w:t>
      </w:r>
      <w:r w:rsidR="0016515F" w:rsidRPr="007548A3">
        <w:rPr>
          <w:rFonts w:cstheme="minorHAnsi"/>
        </w:rPr>
        <w:t xml:space="preserve">agosto </w:t>
      </w:r>
      <w:r w:rsidR="00CE45A2">
        <w:rPr>
          <w:rFonts w:cstheme="minorHAnsi"/>
        </w:rPr>
        <w:t>el</w:t>
      </w:r>
      <w:r w:rsidR="0016515F" w:rsidRPr="007548A3">
        <w:rPr>
          <w:rFonts w:cstheme="minorHAnsi"/>
        </w:rPr>
        <w:t xml:space="preserve"> saldo </w:t>
      </w:r>
      <w:r w:rsidR="00CE45A2">
        <w:rPr>
          <w:rFonts w:cstheme="minorHAnsi"/>
        </w:rPr>
        <w:t xml:space="preserve">es </w:t>
      </w:r>
      <w:r w:rsidR="0016515F" w:rsidRPr="007548A3">
        <w:rPr>
          <w:rFonts w:cstheme="minorHAnsi"/>
        </w:rPr>
        <w:t>de</w:t>
      </w:r>
      <w:r w:rsidR="00A55DD8" w:rsidRPr="007548A3">
        <w:rPr>
          <w:rFonts w:cstheme="minorHAnsi"/>
        </w:rPr>
        <w:t xml:space="preserve"> $22,653.8 millones, lo cual incluye la deuda previsional</w:t>
      </w:r>
      <w:r w:rsidR="00672E96" w:rsidRPr="007548A3">
        <w:rPr>
          <w:rFonts w:cstheme="minorHAnsi"/>
        </w:rPr>
        <w:t xml:space="preserve"> y representa el </w:t>
      </w:r>
      <w:r w:rsidR="0016515F" w:rsidRPr="007548A3">
        <w:rPr>
          <w:rFonts w:cstheme="minorHAnsi"/>
        </w:rPr>
        <w:t xml:space="preserve">82.3% </w:t>
      </w:r>
      <w:r w:rsidR="00672E96" w:rsidRPr="007548A3">
        <w:rPr>
          <w:rFonts w:cstheme="minorHAnsi"/>
        </w:rPr>
        <w:t xml:space="preserve">del </w:t>
      </w:r>
      <w:r w:rsidR="0016515F" w:rsidRPr="007548A3">
        <w:rPr>
          <w:rFonts w:cstheme="minorHAnsi"/>
        </w:rPr>
        <w:t>PIB</w:t>
      </w:r>
      <w:r w:rsidR="009A2523" w:rsidRPr="007548A3">
        <w:rPr>
          <w:rFonts w:cstheme="minorHAnsi"/>
        </w:rPr>
        <w:t>.</w:t>
      </w:r>
    </w:p>
    <w:p w14:paraId="40FFF184" w14:textId="1570ADD9" w:rsidR="00A87A50" w:rsidRDefault="00A87A50" w:rsidP="00420C8A">
      <w:pPr>
        <w:spacing w:after="0" w:line="240" w:lineRule="auto"/>
        <w:jc w:val="both"/>
        <w:rPr>
          <w:rFonts w:cstheme="minorHAnsi"/>
          <w:b/>
        </w:rPr>
      </w:pPr>
    </w:p>
    <w:p w14:paraId="1ECA0EB0" w14:textId="77777777" w:rsidR="005E11E8" w:rsidRDefault="005E11E8" w:rsidP="00420C8A">
      <w:pPr>
        <w:spacing w:after="0" w:line="240" w:lineRule="auto"/>
        <w:jc w:val="both"/>
        <w:rPr>
          <w:rFonts w:cstheme="minorHAnsi"/>
          <w:b/>
        </w:rPr>
      </w:pPr>
    </w:p>
    <w:p w14:paraId="35E1390F" w14:textId="77777777" w:rsidR="0016515F" w:rsidRPr="007548A3" w:rsidRDefault="0016515F" w:rsidP="00420C8A">
      <w:pPr>
        <w:spacing w:after="0" w:line="240" w:lineRule="auto"/>
        <w:jc w:val="both"/>
        <w:rPr>
          <w:rFonts w:cstheme="minorHAnsi"/>
          <w:b/>
        </w:rPr>
      </w:pPr>
      <w:r w:rsidRPr="007548A3">
        <w:rPr>
          <w:rFonts w:cstheme="minorHAnsi"/>
          <w:b/>
        </w:rPr>
        <w:lastRenderedPageBreak/>
        <w:t>Gastos:</w:t>
      </w:r>
    </w:p>
    <w:p w14:paraId="1C56C1B4" w14:textId="77777777" w:rsidR="009A2523" w:rsidRPr="007548A3" w:rsidRDefault="009A2523" w:rsidP="00420C8A">
      <w:pPr>
        <w:spacing w:after="0" w:line="240" w:lineRule="auto"/>
        <w:jc w:val="both"/>
        <w:rPr>
          <w:rFonts w:cstheme="minorHAnsi"/>
        </w:rPr>
      </w:pPr>
    </w:p>
    <w:p w14:paraId="4751D448" w14:textId="3BA8FB09" w:rsidR="002613DC" w:rsidRPr="007548A3" w:rsidRDefault="00DF7F69" w:rsidP="00143E00">
      <w:pPr>
        <w:spacing w:after="0" w:line="276" w:lineRule="auto"/>
        <w:jc w:val="both"/>
        <w:rPr>
          <w:rFonts w:cstheme="minorHAnsi"/>
        </w:rPr>
      </w:pPr>
      <w:r w:rsidRPr="007548A3">
        <w:rPr>
          <w:rFonts w:cstheme="minorHAnsi"/>
          <w:noProof/>
          <w:lang w:val="es-SV" w:eastAsia="es-SV"/>
        </w:rPr>
        <w:drawing>
          <wp:anchor distT="0" distB="0" distL="114300" distR="114300" simplePos="0" relativeHeight="251660288" behindDoc="0" locked="0" layoutInCell="1" allowOverlap="1" wp14:anchorId="31284408" wp14:editId="70C6A671">
            <wp:simplePos x="0" y="0"/>
            <wp:positionH relativeFrom="margin">
              <wp:posOffset>2739390</wp:posOffset>
            </wp:positionH>
            <wp:positionV relativeFrom="margin">
              <wp:posOffset>519430</wp:posOffset>
            </wp:positionV>
            <wp:extent cx="3295650" cy="2152015"/>
            <wp:effectExtent l="0" t="0" r="0" b="0"/>
            <wp:wrapSquare wrapText="bothSides"/>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Pr>
          <w:noProof/>
          <w:lang w:val="es-SV" w:eastAsia="es-SV"/>
        </w:rPr>
        <mc:AlternateContent>
          <mc:Choice Requires="wps">
            <w:drawing>
              <wp:anchor distT="0" distB="0" distL="114300" distR="114300" simplePos="0" relativeHeight="251704320" behindDoc="0" locked="0" layoutInCell="1" allowOverlap="1" wp14:anchorId="0FEC3E75" wp14:editId="7524B64A">
                <wp:simplePos x="0" y="0"/>
                <wp:positionH relativeFrom="column">
                  <wp:posOffset>2682240</wp:posOffset>
                </wp:positionH>
                <wp:positionV relativeFrom="paragraph">
                  <wp:posOffset>1985645</wp:posOffset>
                </wp:positionV>
                <wp:extent cx="1200150" cy="171449"/>
                <wp:effectExtent l="0" t="0" r="0" b="0"/>
                <wp:wrapNone/>
                <wp:docPr id="4" name="CuadroTexto 1"/>
                <wp:cNvGraphicFramePr/>
                <a:graphic xmlns:a="http://schemas.openxmlformats.org/drawingml/2006/main">
                  <a:graphicData uri="http://schemas.microsoft.com/office/word/2010/wordprocessingShape">
                    <wps:wsp>
                      <wps:cNvSpPr txBox="1"/>
                      <wps:spPr>
                        <a:xfrm>
                          <a:off x="0" y="0"/>
                          <a:ext cx="1200150" cy="171449"/>
                        </a:xfrm>
                        <a:prstGeom prst="rect">
                          <a:avLst/>
                        </a:prstGeom>
                      </wps:spPr>
                      <wps:txbx>
                        <w:txbxContent>
                          <w:p w14:paraId="7B5724C4" w14:textId="77777777" w:rsidR="00420C8A" w:rsidRDefault="00420C8A" w:rsidP="00420C8A">
                            <w:pPr>
                              <w:pStyle w:val="NormalWeb"/>
                              <w:spacing w:before="0" w:beforeAutospacing="0" w:after="0" w:afterAutospacing="0"/>
                            </w:pPr>
                            <w:r>
                              <w:rPr>
                                <w:rFonts w:asciiTheme="minorHAnsi" w:hAnsi="Calibri"/>
                                <w:b/>
                                <w:bCs/>
                                <w:color w:val="000000" w:themeColor="text1"/>
                                <w:sz w:val="12"/>
                                <w:szCs w:val="12"/>
                              </w:rPr>
                              <w:t>Fuente: Ministerio de Hacienda</w:t>
                            </w:r>
                          </w:p>
                        </w:txbxContent>
                      </wps:txbx>
                      <wps:bodyPr vertOverflow="clip" wrap="none" rtlCol="0"/>
                    </wps:wsp>
                  </a:graphicData>
                </a:graphic>
              </wp:anchor>
            </w:drawing>
          </mc:Choice>
          <mc:Fallback>
            <w:pict>
              <v:shapetype w14:anchorId="7CF0604D" id="_x0000_t202" coordsize="21600,21600" o:spt="202" path="m,l,21600r21600,l21600,xe">
                <v:stroke joinstyle="miter"/>
                <v:path gradientshapeok="t" o:connecttype="rect"/>
              </v:shapetype>
              <v:shape id="CuadroTexto 1" o:spid="_x0000_s1026" type="#_x0000_t202" style="position:absolute;left:0;text-align:left;margin-left:211.2pt;margin-top:156.35pt;width:94.5pt;height:13.5pt;z-index:251704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" filled="f" stroked="f">
                <v:textbox>
                  <w:txbxContent>
                    <w:p w:rsidR="00420C8A" w:rsidRDefault="00420C8A" w:rsidP="00420C8A">
                      <w:pPr>
                        <w:pStyle w:val="NormalWeb"/>
                        <w:spacing w:before="0" w:beforeAutospacing="0" w:after="0" w:afterAutospacing="0"/>
                      </w:pPr>
                      <w:r>
                        <w:rPr>
                          <w:rFonts w:asciiTheme="minorHAnsi" w:hAnsi="Calibri"/>
                          <w:b/>
                          <w:bCs/>
                          <w:color w:val="000000" w:themeColor="text1"/>
                          <w:sz w:val="12"/>
                          <w:szCs w:val="12"/>
                        </w:rPr>
                        <w:t>Fuente: Ministerio de Hacienda</w:t>
                      </w:r>
                    </w:p>
                  </w:txbxContent>
                </v:textbox>
              </v:shape>
            </w:pict>
          </mc:Fallback>
        </mc:AlternateContent>
      </w:r>
      <w:r w:rsidR="0016515F" w:rsidRPr="007548A3">
        <w:rPr>
          <w:rFonts w:cstheme="minorHAnsi"/>
        </w:rPr>
        <w:t>De acuerdo al conten</w:t>
      </w:r>
      <w:r w:rsidR="00420C8A">
        <w:rPr>
          <w:rFonts w:cstheme="minorHAnsi"/>
        </w:rPr>
        <w:t>ido del</w:t>
      </w:r>
      <w:r w:rsidR="00A87A50">
        <w:rPr>
          <w:rFonts w:cstheme="minorHAnsi"/>
        </w:rPr>
        <w:t xml:space="preserve"> Proyecto de</w:t>
      </w:r>
      <w:r w:rsidR="00420C8A">
        <w:rPr>
          <w:rFonts w:cstheme="minorHAnsi"/>
        </w:rPr>
        <w:t xml:space="preserve"> Presupuesto del año 2022</w:t>
      </w:r>
      <w:r w:rsidR="0016515F" w:rsidRPr="007548A3">
        <w:rPr>
          <w:rFonts w:cstheme="minorHAnsi"/>
        </w:rPr>
        <w:t xml:space="preserve">, el gasto estimado </w:t>
      </w:r>
      <w:r w:rsidR="00A87A50">
        <w:rPr>
          <w:rFonts w:cstheme="minorHAnsi"/>
        </w:rPr>
        <w:t xml:space="preserve">es de </w:t>
      </w:r>
      <w:r w:rsidR="002B1840" w:rsidRPr="007548A3">
        <w:rPr>
          <w:rFonts w:cstheme="minorHAnsi"/>
        </w:rPr>
        <w:t>$7,967.7 millones de dólares</w:t>
      </w:r>
      <w:r w:rsidR="002613DC" w:rsidRPr="007548A3">
        <w:rPr>
          <w:rFonts w:cstheme="minorHAnsi"/>
        </w:rPr>
        <w:t xml:space="preserve">, </w:t>
      </w:r>
      <w:r w:rsidR="00A87A50">
        <w:rPr>
          <w:rFonts w:cstheme="minorHAnsi"/>
        </w:rPr>
        <w:t xml:space="preserve">siendo el </w:t>
      </w:r>
      <w:r w:rsidR="002613DC" w:rsidRPr="007548A3">
        <w:rPr>
          <w:rFonts w:cstheme="minorHAnsi"/>
        </w:rPr>
        <w:t xml:space="preserve">gasto corriente </w:t>
      </w:r>
      <w:r w:rsidR="00A87A50">
        <w:rPr>
          <w:rFonts w:cstheme="minorHAnsi"/>
        </w:rPr>
        <w:t xml:space="preserve">equivalente </w:t>
      </w:r>
      <w:r w:rsidR="002613DC" w:rsidRPr="007548A3">
        <w:rPr>
          <w:rFonts w:cstheme="minorHAnsi"/>
        </w:rPr>
        <w:t>a $5,860.9 millones,</w:t>
      </w:r>
      <w:r w:rsidR="0007701D">
        <w:rPr>
          <w:rFonts w:cstheme="minorHAnsi"/>
        </w:rPr>
        <w:t xml:space="preserve"> mostrando incremento </w:t>
      </w:r>
      <w:r w:rsidR="002613DC" w:rsidRPr="007548A3">
        <w:rPr>
          <w:rFonts w:cstheme="minorHAnsi"/>
        </w:rPr>
        <w:t>del 3.6% respecto al año 2021,</w:t>
      </w:r>
      <w:r w:rsidR="00461DF2" w:rsidRPr="007548A3">
        <w:rPr>
          <w:rFonts w:cstheme="minorHAnsi"/>
        </w:rPr>
        <w:t xml:space="preserve"> y</w:t>
      </w:r>
      <w:r w:rsidR="007641AF" w:rsidRPr="007548A3">
        <w:rPr>
          <w:rFonts w:cstheme="minorHAnsi"/>
        </w:rPr>
        <w:t xml:space="preserve"> con una participación del </w:t>
      </w:r>
      <w:r w:rsidR="002613DC" w:rsidRPr="007548A3">
        <w:rPr>
          <w:rFonts w:cstheme="minorHAnsi"/>
        </w:rPr>
        <w:t xml:space="preserve">73.6% del </w:t>
      </w:r>
      <w:r w:rsidR="007641AF" w:rsidRPr="007548A3">
        <w:rPr>
          <w:rFonts w:cstheme="minorHAnsi"/>
        </w:rPr>
        <w:t xml:space="preserve">gasto </w:t>
      </w:r>
      <w:r w:rsidR="002613DC" w:rsidRPr="007548A3">
        <w:rPr>
          <w:rFonts w:cstheme="minorHAnsi"/>
        </w:rPr>
        <w:t>total estimado</w:t>
      </w:r>
      <w:r w:rsidR="00DE4FF8">
        <w:rPr>
          <w:rFonts w:cstheme="minorHAnsi"/>
        </w:rPr>
        <w:t>.</w:t>
      </w:r>
      <w:r w:rsidR="0007701D">
        <w:rPr>
          <w:rFonts w:cstheme="minorHAnsi"/>
        </w:rPr>
        <w:t xml:space="preserve"> </w:t>
      </w:r>
      <w:r w:rsidR="00DE4FF8">
        <w:rPr>
          <w:rFonts w:cstheme="minorHAnsi"/>
        </w:rPr>
        <w:t>C</w:t>
      </w:r>
      <w:r w:rsidR="0007701D">
        <w:rPr>
          <w:rFonts w:cstheme="minorHAnsi"/>
        </w:rPr>
        <w:t xml:space="preserve">on relación al </w:t>
      </w:r>
      <w:r w:rsidR="002613DC" w:rsidRPr="007548A3">
        <w:rPr>
          <w:rFonts w:cstheme="minorHAnsi"/>
        </w:rPr>
        <w:t>gasto de capital</w:t>
      </w:r>
      <w:r w:rsidR="0007701D">
        <w:rPr>
          <w:rFonts w:cstheme="minorHAnsi"/>
        </w:rPr>
        <w:t>, este se proyecta en</w:t>
      </w:r>
      <w:r w:rsidR="002613DC" w:rsidRPr="007548A3">
        <w:rPr>
          <w:rFonts w:cstheme="minorHAnsi"/>
        </w:rPr>
        <w:t xml:space="preserve"> un monto de $ 1,594.7</w:t>
      </w:r>
      <w:r w:rsidR="00461DF2" w:rsidRPr="007548A3">
        <w:rPr>
          <w:rFonts w:cstheme="minorHAnsi"/>
        </w:rPr>
        <w:t xml:space="preserve"> millones,</w:t>
      </w:r>
      <w:r w:rsidR="002613DC" w:rsidRPr="007548A3">
        <w:rPr>
          <w:rFonts w:cstheme="minorHAnsi"/>
        </w:rPr>
        <w:t xml:space="preserve"> con </w:t>
      </w:r>
      <w:r w:rsidR="0007701D">
        <w:rPr>
          <w:rFonts w:cstheme="minorHAnsi"/>
        </w:rPr>
        <w:t xml:space="preserve">un </w:t>
      </w:r>
      <w:r w:rsidR="002613DC" w:rsidRPr="007548A3">
        <w:rPr>
          <w:rFonts w:cstheme="minorHAnsi"/>
        </w:rPr>
        <w:t>crecimiento del 7.7% respecto al año 2021 y</w:t>
      </w:r>
      <w:r w:rsidR="0007701D">
        <w:rPr>
          <w:rFonts w:cstheme="minorHAnsi"/>
        </w:rPr>
        <w:t xml:space="preserve"> </w:t>
      </w:r>
      <w:r w:rsidR="002613DC" w:rsidRPr="007548A3">
        <w:rPr>
          <w:rFonts w:cstheme="minorHAnsi"/>
        </w:rPr>
        <w:t>una participación del 20% del gasto programado</w:t>
      </w:r>
      <w:r w:rsidR="00461DF2" w:rsidRPr="007548A3">
        <w:rPr>
          <w:rFonts w:cstheme="minorHAnsi"/>
        </w:rPr>
        <w:t xml:space="preserve"> para el año 2022</w:t>
      </w:r>
      <w:r w:rsidR="002613DC" w:rsidRPr="007548A3">
        <w:rPr>
          <w:rFonts w:cstheme="minorHAnsi"/>
        </w:rPr>
        <w:t xml:space="preserve">, mientras que el gasto </w:t>
      </w:r>
      <w:r w:rsidR="0007701D">
        <w:rPr>
          <w:rFonts w:cstheme="minorHAnsi"/>
        </w:rPr>
        <w:t xml:space="preserve">con destino a la </w:t>
      </w:r>
      <w:r w:rsidR="002613DC" w:rsidRPr="007548A3">
        <w:rPr>
          <w:rFonts w:cstheme="minorHAnsi"/>
        </w:rPr>
        <w:t xml:space="preserve">amortización de la deuda pública asciende a $512.1 millones, con un </w:t>
      </w:r>
      <w:r w:rsidR="0007701D">
        <w:rPr>
          <w:rFonts w:cstheme="minorHAnsi"/>
        </w:rPr>
        <w:t xml:space="preserve">aumento </w:t>
      </w:r>
      <w:r w:rsidR="002613DC" w:rsidRPr="007548A3">
        <w:rPr>
          <w:rFonts w:cstheme="minorHAnsi"/>
        </w:rPr>
        <w:t>del 80.5% respecto al año 2021</w:t>
      </w:r>
      <w:r w:rsidR="00461DF2" w:rsidRPr="007548A3">
        <w:rPr>
          <w:rFonts w:cstheme="minorHAnsi"/>
        </w:rPr>
        <w:t xml:space="preserve">, lo que muestra el crecimiento del </w:t>
      </w:r>
      <w:r w:rsidR="00982BFB">
        <w:rPr>
          <w:rFonts w:cstheme="minorHAnsi"/>
        </w:rPr>
        <w:t xml:space="preserve">gasto para atender </w:t>
      </w:r>
      <w:r w:rsidR="00461DF2" w:rsidRPr="007548A3">
        <w:rPr>
          <w:rFonts w:cstheme="minorHAnsi"/>
        </w:rPr>
        <w:t>servicio de la deuda pública</w:t>
      </w:r>
      <w:r w:rsidR="002613DC" w:rsidRPr="007548A3">
        <w:rPr>
          <w:rFonts w:cstheme="minorHAnsi"/>
        </w:rPr>
        <w:t>.</w:t>
      </w:r>
    </w:p>
    <w:p w14:paraId="2949A958" w14:textId="77777777" w:rsidR="002613DC" w:rsidRDefault="002613DC" w:rsidP="00143E00">
      <w:pPr>
        <w:spacing w:after="0" w:line="276" w:lineRule="auto"/>
        <w:jc w:val="both"/>
        <w:rPr>
          <w:rFonts w:cstheme="minorHAnsi"/>
        </w:rPr>
      </w:pPr>
    </w:p>
    <w:p w14:paraId="09F270FC" w14:textId="64394227" w:rsidR="00C102CF" w:rsidRPr="007548A3" w:rsidRDefault="00DF7F69" w:rsidP="00306AB0">
      <w:pPr>
        <w:tabs>
          <w:tab w:val="left" w:pos="1276"/>
        </w:tabs>
        <w:spacing w:after="0" w:line="276" w:lineRule="auto"/>
        <w:jc w:val="both"/>
        <w:rPr>
          <w:rFonts w:cstheme="minorHAnsi"/>
        </w:rPr>
      </w:pPr>
      <w:r w:rsidRPr="00C67FA1">
        <w:rPr>
          <w:noProof/>
          <w:lang w:val="es-SV" w:eastAsia="es-SV"/>
        </w:rPr>
        <w:drawing>
          <wp:anchor distT="0" distB="0" distL="114300" distR="114300" simplePos="0" relativeHeight="251705344" behindDoc="0" locked="0" layoutInCell="1" allowOverlap="1" wp14:anchorId="1C722008" wp14:editId="6143A327">
            <wp:simplePos x="0" y="0"/>
            <wp:positionH relativeFrom="margin">
              <wp:align>right</wp:align>
            </wp:positionH>
            <wp:positionV relativeFrom="margin">
              <wp:posOffset>4662805</wp:posOffset>
            </wp:positionV>
            <wp:extent cx="5612130" cy="1499499"/>
            <wp:effectExtent l="0" t="0" r="7620" b="571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1499499"/>
                    </a:xfrm>
                    <a:prstGeom prst="rect">
                      <a:avLst/>
                    </a:prstGeom>
                    <a:noFill/>
                    <a:ln>
                      <a:noFill/>
                    </a:ln>
                  </pic:spPr>
                </pic:pic>
              </a:graphicData>
            </a:graphic>
          </wp:anchor>
        </w:drawing>
      </w:r>
      <w:r w:rsidR="0007701D">
        <w:rPr>
          <w:rFonts w:cstheme="minorHAnsi"/>
        </w:rPr>
        <w:t xml:space="preserve">El </w:t>
      </w:r>
      <w:r w:rsidR="002613DC" w:rsidRPr="007548A3">
        <w:rPr>
          <w:rFonts w:cstheme="minorHAnsi"/>
        </w:rPr>
        <w:t xml:space="preserve">análisis del </w:t>
      </w:r>
      <w:r w:rsidR="0007701D">
        <w:rPr>
          <w:rFonts w:cstheme="minorHAnsi"/>
        </w:rPr>
        <w:t>gasto público institucional</w:t>
      </w:r>
      <w:r w:rsidR="00982BFB" w:rsidRPr="00982BFB">
        <w:rPr>
          <w:rFonts w:cstheme="minorHAnsi"/>
        </w:rPr>
        <w:t xml:space="preserve"> </w:t>
      </w:r>
      <w:r w:rsidR="00982BFB" w:rsidRPr="007548A3">
        <w:rPr>
          <w:rFonts w:cstheme="minorHAnsi"/>
        </w:rPr>
        <w:t>y la estructura administrativa del Estado</w:t>
      </w:r>
      <w:r w:rsidR="002613DC" w:rsidRPr="007548A3">
        <w:rPr>
          <w:rFonts w:cstheme="minorHAnsi"/>
        </w:rPr>
        <w:t xml:space="preserve">, </w:t>
      </w:r>
      <w:r>
        <w:rPr>
          <w:rFonts w:cstheme="minorHAnsi"/>
        </w:rPr>
        <w:t>muestra de forma general</w:t>
      </w:r>
      <w:r w:rsidR="00E249AE">
        <w:rPr>
          <w:rFonts w:cstheme="minorHAnsi"/>
        </w:rPr>
        <w:t xml:space="preserve">, que este </w:t>
      </w:r>
      <w:r>
        <w:rPr>
          <w:rFonts w:cstheme="minorHAnsi"/>
        </w:rPr>
        <w:t>aument</w:t>
      </w:r>
      <w:r w:rsidR="00E249AE">
        <w:rPr>
          <w:rFonts w:cstheme="minorHAnsi"/>
        </w:rPr>
        <w:t>a</w:t>
      </w:r>
      <w:r w:rsidR="002613DC" w:rsidRPr="007548A3">
        <w:rPr>
          <w:rFonts w:cstheme="minorHAnsi"/>
        </w:rPr>
        <w:t xml:space="preserve"> $544.1 millones, lo cual equivale el </w:t>
      </w:r>
      <w:r w:rsidR="00C102CF" w:rsidRPr="007548A3">
        <w:rPr>
          <w:rFonts w:cstheme="minorHAnsi"/>
        </w:rPr>
        <w:t xml:space="preserve">7.3% </w:t>
      </w:r>
      <w:r>
        <w:rPr>
          <w:rFonts w:cstheme="minorHAnsi"/>
        </w:rPr>
        <w:t>respecto al año 2021</w:t>
      </w:r>
      <w:r w:rsidR="00605880">
        <w:rPr>
          <w:rFonts w:cstheme="minorHAnsi"/>
        </w:rPr>
        <w:t>,</w:t>
      </w:r>
      <w:r w:rsidR="00420C8A">
        <w:rPr>
          <w:rFonts w:cstheme="minorHAnsi"/>
        </w:rPr>
        <w:t xml:space="preserve"> </w:t>
      </w:r>
      <w:r w:rsidR="00E249AE">
        <w:rPr>
          <w:rFonts w:cstheme="minorHAnsi"/>
        </w:rPr>
        <w:t xml:space="preserve">y se distribuye en el </w:t>
      </w:r>
      <w:r w:rsidRPr="007548A3">
        <w:rPr>
          <w:rFonts w:cstheme="minorHAnsi"/>
        </w:rPr>
        <w:t>Órgano Ejecutivo y del Órgano Judicial</w:t>
      </w:r>
      <w:r w:rsidR="00605880">
        <w:rPr>
          <w:rFonts w:cstheme="minorHAnsi"/>
        </w:rPr>
        <w:t>;</w:t>
      </w:r>
      <w:r w:rsidRPr="007548A3">
        <w:rPr>
          <w:rFonts w:cstheme="minorHAnsi"/>
        </w:rPr>
        <w:t xml:space="preserve"> est</w:t>
      </w:r>
      <w:r>
        <w:rPr>
          <w:rFonts w:cstheme="minorHAnsi"/>
        </w:rPr>
        <w:t xml:space="preserve">e </w:t>
      </w:r>
      <w:r w:rsidRPr="007548A3">
        <w:rPr>
          <w:rFonts w:cstheme="minorHAnsi"/>
        </w:rPr>
        <w:t xml:space="preserve"> último por el crecimiento natural de los ingresos corrientes y cumplimiento del Art. 172 de la Constitución</w:t>
      </w:r>
      <w:r w:rsidR="00605880">
        <w:rPr>
          <w:rFonts w:cstheme="minorHAnsi"/>
        </w:rPr>
        <w:t>,</w:t>
      </w:r>
      <w:r w:rsidR="00E249AE">
        <w:rPr>
          <w:rFonts w:cstheme="minorHAnsi"/>
        </w:rPr>
        <w:t xml:space="preserve"> así mismo por el </w:t>
      </w:r>
      <w:r w:rsidR="00C102CF" w:rsidRPr="007548A3">
        <w:rPr>
          <w:rFonts w:cstheme="minorHAnsi"/>
        </w:rPr>
        <w:t>servicio de la deuda pública, en las transferencias</w:t>
      </w:r>
      <w:r w:rsidR="00E249AE">
        <w:rPr>
          <w:rFonts w:cstheme="minorHAnsi"/>
        </w:rPr>
        <w:t xml:space="preserve"> tanto</w:t>
      </w:r>
      <w:r w:rsidR="00420C8A">
        <w:rPr>
          <w:rFonts w:cstheme="minorHAnsi"/>
        </w:rPr>
        <w:t xml:space="preserve"> corrientes</w:t>
      </w:r>
      <w:r w:rsidR="00E249AE">
        <w:rPr>
          <w:rFonts w:cstheme="minorHAnsi"/>
        </w:rPr>
        <w:t xml:space="preserve"> como </w:t>
      </w:r>
      <w:r w:rsidR="00420C8A">
        <w:rPr>
          <w:rFonts w:cstheme="minorHAnsi"/>
        </w:rPr>
        <w:t>de capital</w:t>
      </w:r>
      <w:r w:rsidR="00605880">
        <w:rPr>
          <w:rFonts w:cstheme="minorHAnsi"/>
        </w:rPr>
        <w:t>;</w:t>
      </w:r>
      <w:r w:rsidR="00E249AE">
        <w:rPr>
          <w:rFonts w:cstheme="minorHAnsi"/>
        </w:rPr>
        <w:t xml:space="preserve"> </w:t>
      </w:r>
      <w:r w:rsidR="00605880">
        <w:rPr>
          <w:rFonts w:cstheme="minorHAnsi"/>
        </w:rPr>
        <w:t>lo anterior</w:t>
      </w:r>
      <w:r w:rsidR="00C102CF" w:rsidRPr="007548A3">
        <w:rPr>
          <w:rFonts w:cstheme="minorHAnsi"/>
        </w:rPr>
        <w:t xml:space="preserve"> según la lámina No. 1</w:t>
      </w:r>
      <w:r w:rsidR="00605880">
        <w:rPr>
          <w:rFonts w:cstheme="minorHAnsi"/>
        </w:rPr>
        <w:t>.</w:t>
      </w:r>
    </w:p>
    <w:p w14:paraId="34E5291F" w14:textId="77777777" w:rsidR="00C102CF" w:rsidRDefault="00E249AE" w:rsidP="00143E00">
      <w:pPr>
        <w:spacing w:after="0" w:line="276" w:lineRule="auto"/>
        <w:jc w:val="both"/>
        <w:rPr>
          <w:rFonts w:cstheme="minorHAnsi"/>
        </w:rPr>
      </w:pPr>
      <w:r>
        <w:rPr>
          <w:noProof/>
          <w:lang w:val="es-SV" w:eastAsia="es-SV"/>
        </w:rPr>
        <w:drawing>
          <wp:anchor distT="0" distB="0" distL="114300" distR="114300" simplePos="0" relativeHeight="251688960" behindDoc="0" locked="0" layoutInCell="1" allowOverlap="1" wp14:anchorId="7AD6FD9C" wp14:editId="0735B01E">
            <wp:simplePos x="0" y="0"/>
            <wp:positionH relativeFrom="margin">
              <wp:posOffset>1377315</wp:posOffset>
            </wp:positionH>
            <wp:positionV relativeFrom="margin">
              <wp:posOffset>6306185</wp:posOffset>
            </wp:positionV>
            <wp:extent cx="3171825" cy="2247900"/>
            <wp:effectExtent l="0" t="0" r="0" b="0"/>
            <wp:wrapSquare wrapText="bothSides"/>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56675F3B" w14:textId="77777777" w:rsidR="00880E67" w:rsidRDefault="00880E67" w:rsidP="00143E00">
      <w:pPr>
        <w:spacing w:after="0" w:line="276" w:lineRule="auto"/>
        <w:jc w:val="both"/>
        <w:rPr>
          <w:rFonts w:cstheme="minorHAnsi"/>
        </w:rPr>
      </w:pPr>
    </w:p>
    <w:p w14:paraId="56BD3386" w14:textId="77777777" w:rsidR="00880E67" w:rsidRDefault="00880E67" w:rsidP="00143E00">
      <w:pPr>
        <w:spacing w:after="0" w:line="276" w:lineRule="auto"/>
        <w:jc w:val="both"/>
        <w:rPr>
          <w:rFonts w:cstheme="minorHAnsi"/>
        </w:rPr>
      </w:pPr>
    </w:p>
    <w:p w14:paraId="336E7465" w14:textId="77777777" w:rsidR="00880E67" w:rsidRDefault="00880E67" w:rsidP="00143E00">
      <w:pPr>
        <w:spacing w:after="0" w:line="276" w:lineRule="auto"/>
        <w:jc w:val="both"/>
        <w:rPr>
          <w:rFonts w:cstheme="minorHAnsi"/>
        </w:rPr>
      </w:pPr>
    </w:p>
    <w:p w14:paraId="2F7422EE" w14:textId="77777777" w:rsidR="00880E67" w:rsidRDefault="00880E67" w:rsidP="00143E00">
      <w:pPr>
        <w:spacing w:after="0" w:line="276" w:lineRule="auto"/>
        <w:jc w:val="both"/>
        <w:rPr>
          <w:rFonts w:cstheme="minorHAnsi"/>
        </w:rPr>
      </w:pPr>
    </w:p>
    <w:p w14:paraId="156CCEF1" w14:textId="77777777" w:rsidR="00AE393B" w:rsidRDefault="00AE393B" w:rsidP="00143E00">
      <w:pPr>
        <w:spacing w:after="0" w:line="276" w:lineRule="auto"/>
        <w:jc w:val="both"/>
        <w:rPr>
          <w:rFonts w:cstheme="minorHAnsi"/>
        </w:rPr>
      </w:pPr>
    </w:p>
    <w:p w14:paraId="0A4BBC29" w14:textId="77777777" w:rsidR="00AE393B" w:rsidRDefault="00AE393B" w:rsidP="00143E00">
      <w:pPr>
        <w:spacing w:after="0" w:line="276" w:lineRule="auto"/>
        <w:jc w:val="both"/>
        <w:rPr>
          <w:rFonts w:cstheme="minorHAnsi"/>
        </w:rPr>
      </w:pPr>
    </w:p>
    <w:p w14:paraId="167E24BF" w14:textId="77777777" w:rsidR="00AE393B" w:rsidRDefault="00AE393B" w:rsidP="00143E00">
      <w:pPr>
        <w:spacing w:after="0" w:line="276" w:lineRule="auto"/>
        <w:jc w:val="both"/>
        <w:rPr>
          <w:rFonts w:cstheme="minorHAnsi"/>
        </w:rPr>
      </w:pPr>
    </w:p>
    <w:p w14:paraId="0054818B" w14:textId="77777777" w:rsidR="00AE393B" w:rsidRDefault="00AE393B" w:rsidP="00143E00">
      <w:pPr>
        <w:spacing w:after="0" w:line="276" w:lineRule="auto"/>
        <w:jc w:val="both"/>
        <w:rPr>
          <w:rFonts w:cstheme="minorHAnsi"/>
        </w:rPr>
      </w:pPr>
    </w:p>
    <w:p w14:paraId="44FA4FEB" w14:textId="2E668AD1" w:rsidR="00AE393B" w:rsidRDefault="00AE393B" w:rsidP="00143E00">
      <w:pPr>
        <w:spacing w:after="0" w:line="276" w:lineRule="auto"/>
        <w:jc w:val="both"/>
        <w:rPr>
          <w:rFonts w:cstheme="minorHAnsi"/>
        </w:rPr>
      </w:pPr>
    </w:p>
    <w:p w14:paraId="2EE83544" w14:textId="77777777" w:rsidR="00A46A8B" w:rsidRDefault="00A46A8B" w:rsidP="00143E00">
      <w:pPr>
        <w:spacing w:after="0" w:line="276" w:lineRule="auto"/>
        <w:jc w:val="both"/>
        <w:rPr>
          <w:rFonts w:cstheme="minorHAnsi"/>
        </w:rPr>
      </w:pPr>
    </w:p>
    <w:p w14:paraId="51D8BA78" w14:textId="184C4C6F" w:rsidR="009843C5" w:rsidRDefault="009843C5" w:rsidP="00143E00">
      <w:pPr>
        <w:spacing w:after="0" w:line="276" w:lineRule="auto"/>
        <w:jc w:val="both"/>
        <w:rPr>
          <w:rFonts w:cstheme="minorHAnsi"/>
        </w:rPr>
      </w:pPr>
      <w:r>
        <w:rPr>
          <w:rFonts w:cstheme="minorHAnsi"/>
        </w:rPr>
        <w:lastRenderedPageBreak/>
        <w:t>Partiendo de lo expuesto en la lámina No. 1</w:t>
      </w:r>
      <w:r w:rsidR="00605880">
        <w:rPr>
          <w:rFonts w:cstheme="minorHAnsi"/>
        </w:rPr>
        <w:t>,</w:t>
      </w:r>
      <w:r>
        <w:rPr>
          <w:rFonts w:cstheme="minorHAnsi"/>
        </w:rPr>
        <w:t xml:space="preserve"> </w:t>
      </w:r>
      <w:r w:rsidRPr="009843C5">
        <w:rPr>
          <w:rFonts w:cstheme="minorHAnsi"/>
        </w:rPr>
        <w:t>referida a la participación</w:t>
      </w:r>
      <w:r>
        <w:rPr>
          <w:rFonts w:cstheme="minorHAnsi"/>
        </w:rPr>
        <w:t xml:space="preserve"> por Órgano de Estado y la </w:t>
      </w:r>
      <w:r w:rsidRPr="009843C5">
        <w:rPr>
          <w:rFonts w:cstheme="minorHAnsi"/>
        </w:rPr>
        <w:t xml:space="preserve"> institucional</w:t>
      </w:r>
      <w:r>
        <w:rPr>
          <w:rFonts w:cstheme="minorHAnsi"/>
        </w:rPr>
        <w:t>, el presupuesto estimad</w:t>
      </w:r>
      <w:r w:rsidRPr="009843C5">
        <w:rPr>
          <w:rFonts w:cstheme="minorHAnsi"/>
        </w:rPr>
        <w:t>o para el año 2022</w:t>
      </w:r>
      <w:r>
        <w:rPr>
          <w:rFonts w:cstheme="minorHAnsi"/>
        </w:rPr>
        <w:t xml:space="preserve"> muestra que </w:t>
      </w:r>
      <w:r w:rsidRPr="009843C5">
        <w:rPr>
          <w:rFonts w:cstheme="minorHAnsi"/>
        </w:rPr>
        <w:t xml:space="preserve"> </w:t>
      </w:r>
      <w:r>
        <w:rPr>
          <w:rFonts w:cstheme="minorHAnsi"/>
        </w:rPr>
        <w:t xml:space="preserve">los ramos de </w:t>
      </w:r>
      <w:r w:rsidR="00605880">
        <w:rPr>
          <w:rFonts w:cstheme="minorHAnsi"/>
        </w:rPr>
        <w:t>E</w:t>
      </w:r>
      <w:r>
        <w:rPr>
          <w:rFonts w:cstheme="minorHAnsi"/>
        </w:rPr>
        <w:t xml:space="preserve">ducación, </w:t>
      </w:r>
      <w:r w:rsidR="00605880">
        <w:rPr>
          <w:rFonts w:cstheme="minorHAnsi"/>
        </w:rPr>
        <w:t>S</w:t>
      </w:r>
      <w:r>
        <w:rPr>
          <w:rFonts w:cstheme="minorHAnsi"/>
        </w:rPr>
        <w:t xml:space="preserve">alud, </w:t>
      </w:r>
      <w:r w:rsidR="00605880">
        <w:rPr>
          <w:rFonts w:cstheme="minorHAnsi"/>
        </w:rPr>
        <w:t>D</w:t>
      </w:r>
      <w:r>
        <w:rPr>
          <w:rFonts w:cstheme="minorHAnsi"/>
        </w:rPr>
        <w:t>efensa  y la Presidencia de la República, increment</w:t>
      </w:r>
      <w:r w:rsidR="00605880">
        <w:rPr>
          <w:rFonts w:cstheme="minorHAnsi"/>
        </w:rPr>
        <w:t>an</w:t>
      </w:r>
      <w:r>
        <w:rPr>
          <w:rFonts w:cstheme="minorHAnsi"/>
        </w:rPr>
        <w:t xml:space="preserve"> para el próximo año, así como el servicio de la deuda pública. Si realizamos una comparativo respecto al P</w:t>
      </w:r>
      <w:r w:rsidR="00605880">
        <w:rPr>
          <w:rFonts w:cstheme="minorHAnsi"/>
        </w:rPr>
        <w:t xml:space="preserve">roducto </w:t>
      </w:r>
      <w:r>
        <w:rPr>
          <w:rFonts w:cstheme="minorHAnsi"/>
        </w:rPr>
        <w:t>I</w:t>
      </w:r>
      <w:r w:rsidR="00605880">
        <w:rPr>
          <w:rFonts w:cstheme="minorHAnsi"/>
        </w:rPr>
        <w:t xml:space="preserve">nterno </w:t>
      </w:r>
      <w:r>
        <w:rPr>
          <w:rFonts w:cstheme="minorHAnsi"/>
        </w:rPr>
        <w:t>B</w:t>
      </w:r>
      <w:r w:rsidR="00605880">
        <w:rPr>
          <w:rFonts w:cstheme="minorHAnsi"/>
        </w:rPr>
        <w:t>ruto (PIB)</w:t>
      </w:r>
      <w:r>
        <w:rPr>
          <w:rFonts w:cstheme="minorHAnsi"/>
        </w:rPr>
        <w:t xml:space="preserve"> estimado para el año 2022, se observa que el gasto proyectado equivale al 27.7% del PIB</w:t>
      </w:r>
      <w:r w:rsidR="00605880">
        <w:rPr>
          <w:rFonts w:cstheme="minorHAnsi"/>
        </w:rPr>
        <w:t>.</w:t>
      </w:r>
      <w:r>
        <w:rPr>
          <w:rFonts w:cstheme="minorHAnsi"/>
        </w:rPr>
        <w:t xml:space="preserve"> </w:t>
      </w:r>
      <w:r w:rsidR="00605880">
        <w:rPr>
          <w:rFonts w:cstheme="minorHAnsi"/>
        </w:rPr>
        <w:t>P</w:t>
      </w:r>
      <w:r>
        <w:rPr>
          <w:rFonts w:cstheme="minorHAnsi"/>
        </w:rPr>
        <w:t xml:space="preserve">ara una mayor exposición se presenta </w:t>
      </w:r>
      <w:r w:rsidR="00922D6F">
        <w:rPr>
          <w:rFonts w:cstheme="minorHAnsi"/>
        </w:rPr>
        <w:t>la distribución institucional en la</w:t>
      </w:r>
      <w:r w:rsidRPr="009843C5">
        <w:rPr>
          <w:rFonts w:cstheme="minorHAnsi"/>
        </w:rPr>
        <w:t xml:space="preserve"> lámina No. </w:t>
      </w:r>
      <w:r w:rsidR="00922D6F">
        <w:rPr>
          <w:rFonts w:cstheme="minorHAnsi"/>
        </w:rPr>
        <w:t>2.</w:t>
      </w:r>
      <w:r w:rsidR="00E249AE">
        <w:rPr>
          <w:rFonts w:cstheme="minorHAnsi"/>
        </w:rPr>
        <w:t xml:space="preserve"> </w:t>
      </w:r>
    </w:p>
    <w:p w14:paraId="02767C7E" w14:textId="77777777" w:rsidR="009843C5" w:rsidRDefault="009843C5" w:rsidP="00143E00">
      <w:pPr>
        <w:spacing w:after="0" w:line="276" w:lineRule="auto"/>
        <w:jc w:val="both"/>
        <w:rPr>
          <w:rFonts w:cstheme="minorHAnsi"/>
        </w:rPr>
      </w:pPr>
      <w:r w:rsidRPr="009843C5">
        <w:rPr>
          <w:noProof/>
          <w:lang w:val="es-SV" w:eastAsia="es-SV"/>
        </w:rPr>
        <w:drawing>
          <wp:anchor distT="0" distB="0" distL="114300" distR="114300" simplePos="0" relativeHeight="251714560" behindDoc="0" locked="0" layoutInCell="1" allowOverlap="1" wp14:anchorId="4AB9B973" wp14:editId="520C6045">
            <wp:simplePos x="1076325" y="2076450"/>
            <wp:positionH relativeFrom="margin">
              <wp:align>center</wp:align>
            </wp:positionH>
            <wp:positionV relativeFrom="margin">
              <wp:align>bottom</wp:align>
            </wp:positionV>
            <wp:extent cx="5725795" cy="6810375"/>
            <wp:effectExtent l="0" t="0" r="825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5795" cy="6810375"/>
                    </a:xfrm>
                    <a:prstGeom prst="rect">
                      <a:avLst/>
                    </a:prstGeom>
                    <a:noFill/>
                    <a:ln>
                      <a:noFill/>
                    </a:ln>
                  </pic:spPr>
                </pic:pic>
              </a:graphicData>
            </a:graphic>
          </wp:anchor>
        </w:drawing>
      </w:r>
    </w:p>
    <w:p w14:paraId="16929AA9" w14:textId="77777777" w:rsidR="009843C5" w:rsidRDefault="00922D6F" w:rsidP="009843C5">
      <w:pPr>
        <w:spacing w:after="0" w:line="276" w:lineRule="auto"/>
        <w:jc w:val="both"/>
        <w:rPr>
          <w:rFonts w:cstheme="minorHAnsi"/>
        </w:rPr>
      </w:pPr>
      <w:r w:rsidRPr="00922D6F">
        <w:rPr>
          <w:noProof/>
          <w:lang w:val="es-SV" w:eastAsia="es-SV"/>
        </w:rPr>
        <w:lastRenderedPageBreak/>
        <w:drawing>
          <wp:anchor distT="0" distB="0" distL="114300" distR="114300" simplePos="0" relativeHeight="251714047" behindDoc="0" locked="0" layoutInCell="1" allowOverlap="1" wp14:anchorId="3FD61BB2" wp14:editId="13F15355">
            <wp:simplePos x="0" y="0"/>
            <wp:positionH relativeFrom="margin">
              <wp:posOffset>-337185</wp:posOffset>
            </wp:positionH>
            <wp:positionV relativeFrom="margin">
              <wp:posOffset>471805</wp:posOffset>
            </wp:positionV>
            <wp:extent cx="6343650" cy="544830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43650" cy="5448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rPr>
        <w:t xml:space="preserve">Al realizar un breve análisis del destino </w:t>
      </w:r>
      <w:r w:rsidR="009843C5">
        <w:rPr>
          <w:rFonts w:cstheme="minorHAnsi"/>
        </w:rPr>
        <w:t>y clasificación económica</w:t>
      </w:r>
      <w:r>
        <w:rPr>
          <w:rFonts w:cstheme="minorHAnsi"/>
        </w:rPr>
        <w:t xml:space="preserve"> del gasto, se tiene la </w:t>
      </w:r>
      <w:r w:rsidR="009843C5">
        <w:rPr>
          <w:rFonts w:cstheme="minorHAnsi"/>
        </w:rPr>
        <w:t>siguiente</w:t>
      </w:r>
      <w:r>
        <w:rPr>
          <w:rFonts w:cstheme="minorHAnsi"/>
        </w:rPr>
        <w:t xml:space="preserve"> distribución</w:t>
      </w:r>
      <w:r w:rsidR="009843C5">
        <w:rPr>
          <w:rFonts w:cstheme="minorHAnsi"/>
        </w:rPr>
        <w:t>:</w:t>
      </w:r>
    </w:p>
    <w:p w14:paraId="1143F14F" w14:textId="77777777" w:rsidR="00AE393B" w:rsidRDefault="00AE393B" w:rsidP="00143E00">
      <w:pPr>
        <w:spacing w:after="0" w:line="276" w:lineRule="auto"/>
        <w:jc w:val="both"/>
        <w:rPr>
          <w:rFonts w:cstheme="minorHAnsi"/>
        </w:rPr>
      </w:pPr>
    </w:p>
    <w:p w14:paraId="768D18BF" w14:textId="3A640E45" w:rsidR="00F2085E" w:rsidRPr="007548A3" w:rsidRDefault="00922D6F" w:rsidP="00143E00">
      <w:pPr>
        <w:spacing w:after="0" w:line="276" w:lineRule="auto"/>
        <w:jc w:val="both"/>
        <w:rPr>
          <w:rFonts w:cstheme="minorHAnsi"/>
        </w:rPr>
      </w:pPr>
      <w:r>
        <w:rPr>
          <w:rFonts w:cstheme="minorHAnsi"/>
        </w:rPr>
        <w:t xml:space="preserve">Por otro lado, un breve análisis de la estructura de plazas permanentes del Sector Público No Financiero, refleja que </w:t>
      </w:r>
      <w:r w:rsidR="00AF51F3">
        <w:rPr>
          <w:rFonts w:cstheme="minorHAnsi"/>
        </w:rPr>
        <w:t xml:space="preserve">se </w:t>
      </w:r>
      <w:r>
        <w:rPr>
          <w:rFonts w:cstheme="minorHAnsi"/>
        </w:rPr>
        <w:t xml:space="preserve">proyecta un conjunto de </w:t>
      </w:r>
      <w:r w:rsidR="00F2085E" w:rsidRPr="007548A3">
        <w:rPr>
          <w:rFonts w:cstheme="minorHAnsi"/>
        </w:rPr>
        <w:t>movimientos</w:t>
      </w:r>
      <w:r w:rsidR="0027315D">
        <w:rPr>
          <w:rFonts w:cstheme="minorHAnsi"/>
        </w:rPr>
        <w:t xml:space="preserve"> de plazas </w:t>
      </w:r>
      <w:r>
        <w:rPr>
          <w:rFonts w:cstheme="minorHAnsi"/>
        </w:rPr>
        <w:t>dentro de las instituciones públicas.</w:t>
      </w:r>
      <w:r w:rsidR="00F2085E" w:rsidRPr="007548A3">
        <w:rPr>
          <w:rFonts w:cstheme="minorHAnsi"/>
        </w:rPr>
        <w:t xml:space="preserve"> </w:t>
      </w:r>
      <w:r w:rsidR="00AF51F3" w:rsidRPr="007548A3">
        <w:rPr>
          <w:rFonts w:cstheme="minorHAnsi"/>
        </w:rPr>
        <w:t>Con</w:t>
      </w:r>
      <w:r w:rsidR="00F2085E" w:rsidRPr="007548A3">
        <w:rPr>
          <w:rFonts w:cstheme="minorHAnsi"/>
        </w:rPr>
        <w:t xml:space="preserve"> un incremento</w:t>
      </w:r>
      <w:r w:rsidR="00AF51F3">
        <w:rPr>
          <w:rFonts w:cstheme="minorHAnsi"/>
        </w:rPr>
        <w:t xml:space="preserve"> neto</w:t>
      </w:r>
      <w:r w:rsidR="00F2085E" w:rsidRPr="007548A3">
        <w:rPr>
          <w:rFonts w:cstheme="minorHAnsi"/>
        </w:rPr>
        <w:t xml:space="preserve"> de plazas</w:t>
      </w:r>
      <w:r w:rsidR="0027315D">
        <w:rPr>
          <w:rFonts w:cstheme="minorHAnsi"/>
        </w:rPr>
        <w:t xml:space="preserve"> de 4,015</w:t>
      </w:r>
      <w:r w:rsidR="00AF51F3">
        <w:rPr>
          <w:rFonts w:cstheme="minorHAnsi"/>
        </w:rPr>
        <w:t xml:space="preserve">, el cual resulta de una disminución </w:t>
      </w:r>
      <w:r w:rsidR="00416E53">
        <w:rPr>
          <w:rFonts w:cstheme="minorHAnsi"/>
        </w:rPr>
        <w:t xml:space="preserve">de </w:t>
      </w:r>
      <w:r w:rsidR="00AF51F3">
        <w:rPr>
          <w:rFonts w:cstheme="minorHAnsi"/>
        </w:rPr>
        <w:t>14 plazas por ley de salario y un aumento de 4</w:t>
      </w:r>
      <w:r w:rsidR="00416E53">
        <w:rPr>
          <w:rFonts w:cstheme="minorHAnsi"/>
        </w:rPr>
        <w:t>,</w:t>
      </w:r>
      <w:r w:rsidR="00AF51F3">
        <w:rPr>
          <w:rFonts w:cstheme="minorHAnsi"/>
        </w:rPr>
        <w:t xml:space="preserve">029 plazas por contrato; esto según la </w:t>
      </w:r>
      <w:r w:rsidR="006F6F36">
        <w:rPr>
          <w:rFonts w:cstheme="minorHAnsi"/>
        </w:rPr>
        <w:t>l</w:t>
      </w:r>
      <w:r w:rsidR="00AF51F3">
        <w:rPr>
          <w:rFonts w:cstheme="minorHAnsi"/>
        </w:rPr>
        <w:t xml:space="preserve">ámina No. 4, mostrando dicho incremento en el Gobierno Central y las </w:t>
      </w:r>
      <w:r w:rsidR="006F6F36">
        <w:rPr>
          <w:rFonts w:cstheme="minorHAnsi"/>
        </w:rPr>
        <w:t>i</w:t>
      </w:r>
      <w:r w:rsidR="00AF51F3">
        <w:rPr>
          <w:rFonts w:cstheme="minorHAnsi"/>
        </w:rPr>
        <w:t xml:space="preserve">nstituciones </w:t>
      </w:r>
      <w:r w:rsidR="006F6F36">
        <w:rPr>
          <w:rFonts w:cstheme="minorHAnsi"/>
        </w:rPr>
        <w:t>d</w:t>
      </w:r>
      <w:r w:rsidR="00AF51F3">
        <w:rPr>
          <w:rFonts w:cstheme="minorHAnsi"/>
        </w:rPr>
        <w:t>escentralizadas.</w:t>
      </w:r>
      <w:r w:rsidR="0027315D">
        <w:rPr>
          <w:rFonts w:cstheme="minorHAnsi"/>
        </w:rPr>
        <w:t xml:space="preserve"> </w:t>
      </w:r>
      <w:r w:rsidR="00AF51F3">
        <w:rPr>
          <w:rFonts w:cstheme="minorHAnsi"/>
        </w:rPr>
        <w:t xml:space="preserve">Por otro lado, al observar los rangos salariales de algunas instituciones se </w:t>
      </w:r>
      <w:r w:rsidR="0027315D">
        <w:rPr>
          <w:rFonts w:cstheme="minorHAnsi"/>
        </w:rPr>
        <w:t>observa</w:t>
      </w:r>
      <w:r w:rsidR="00AF51F3">
        <w:rPr>
          <w:rFonts w:cstheme="minorHAnsi"/>
        </w:rPr>
        <w:t>n</w:t>
      </w:r>
      <w:r w:rsidR="0027315D">
        <w:rPr>
          <w:rFonts w:cstheme="minorHAnsi"/>
        </w:rPr>
        <w:t xml:space="preserve"> movimiento</w:t>
      </w:r>
      <w:r w:rsidR="00AF51F3">
        <w:rPr>
          <w:rFonts w:cstheme="minorHAnsi"/>
        </w:rPr>
        <w:t>s, lo que supone incrementos salariales</w:t>
      </w:r>
      <w:r w:rsidR="0027315D">
        <w:rPr>
          <w:rFonts w:cstheme="minorHAnsi"/>
        </w:rPr>
        <w:t xml:space="preserve"> en detrimento de otras</w:t>
      </w:r>
      <w:r w:rsidR="00AF51F3">
        <w:rPr>
          <w:rFonts w:cstheme="minorHAnsi"/>
        </w:rPr>
        <w:t xml:space="preserve">, esto se observa en la </w:t>
      </w:r>
      <w:r w:rsidR="006F6F36">
        <w:rPr>
          <w:rFonts w:cstheme="minorHAnsi"/>
        </w:rPr>
        <w:t>l</w:t>
      </w:r>
      <w:r w:rsidR="00AF51F3">
        <w:rPr>
          <w:rFonts w:cstheme="minorHAnsi"/>
        </w:rPr>
        <w:t>ámina No. 5.</w:t>
      </w:r>
    </w:p>
    <w:p w14:paraId="1DFB484E" w14:textId="77777777" w:rsidR="0027315D" w:rsidRDefault="0027315D" w:rsidP="00143E00">
      <w:pPr>
        <w:spacing w:after="0" w:line="276" w:lineRule="auto"/>
        <w:jc w:val="both"/>
        <w:rPr>
          <w:rFonts w:cstheme="minorHAnsi"/>
        </w:rPr>
      </w:pPr>
    </w:p>
    <w:p w14:paraId="4C11A7FC" w14:textId="77777777" w:rsidR="0027315D" w:rsidRDefault="0027315D" w:rsidP="00143E00">
      <w:pPr>
        <w:spacing w:after="0" w:line="276" w:lineRule="auto"/>
        <w:jc w:val="both"/>
        <w:rPr>
          <w:rFonts w:cstheme="minorHAnsi"/>
        </w:rPr>
      </w:pPr>
    </w:p>
    <w:p w14:paraId="5C664B9B" w14:textId="77777777" w:rsidR="00AE393B" w:rsidRDefault="00AE393B" w:rsidP="00143E00">
      <w:pPr>
        <w:spacing w:after="0" w:line="276" w:lineRule="auto"/>
        <w:jc w:val="both"/>
        <w:rPr>
          <w:rFonts w:cstheme="minorHAnsi"/>
        </w:rPr>
      </w:pPr>
    </w:p>
    <w:p w14:paraId="5B6F6A13" w14:textId="77777777" w:rsidR="0027315D" w:rsidRDefault="00922D6F" w:rsidP="00703505">
      <w:pPr>
        <w:spacing w:after="0" w:line="240" w:lineRule="auto"/>
        <w:jc w:val="both"/>
        <w:rPr>
          <w:rFonts w:cstheme="minorHAnsi"/>
          <w:b/>
          <w:sz w:val="24"/>
        </w:rPr>
      </w:pPr>
      <w:r w:rsidRPr="00F53672">
        <w:rPr>
          <w:noProof/>
          <w:lang w:val="es-SV" w:eastAsia="es-SV"/>
        </w:rPr>
        <w:lastRenderedPageBreak/>
        <w:drawing>
          <wp:anchor distT="0" distB="0" distL="114300" distR="114300" simplePos="0" relativeHeight="251709440" behindDoc="0" locked="0" layoutInCell="1" allowOverlap="1" wp14:anchorId="2C16AB4A" wp14:editId="7CB5ED54">
            <wp:simplePos x="0" y="0"/>
            <wp:positionH relativeFrom="margin">
              <wp:align>center</wp:align>
            </wp:positionH>
            <wp:positionV relativeFrom="margin">
              <wp:posOffset>5080</wp:posOffset>
            </wp:positionV>
            <wp:extent cx="4387850" cy="255270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7850" cy="2552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4542E7" w14:textId="77777777" w:rsidR="0027315D" w:rsidRDefault="0027315D" w:rsidP="00703505">
      <w:pPr>
        <w:spacing w:after="0" w:line="240" w:lineRule="auto"/>
        <w:jc w:val="both"/>
        <w:rPr>
          <w:rFonts w:cstheme="minorHAnsi"/>
          <w:b/>
          <w:sz w:val="24"/>
        </w:rPr>
      </w:pPr>
    </w:p>
    <w:p w14:paraId="68247640" w14:textId="77777777" w:rsidR="0027315D" w:rsidRDefault="0027315D" w:rsidP="00703505">
      <w:pPr>
        <w:spacing w:after="0" w:line="240" w:lineRule="auto"/>
        <w:jc w:val="both"/>
        <w:rPr>
          <w:rFonts w:cstheme="minorHAnsi"/>
          <w:b/>
          <w:sz w:val="24"/>
        </w:rPr>
      </w:pPr>
    </w:p>
    <w:p w14:paraId="59D96963" w14:textId="77777777" w:rsidR="0027315D" w:rsidRDefault="0027315D" w:rsidP="00703505">
      <w:pPr>
        <w:spacing w:after="0" w:line="240" w:lineRule="auto"/>
        <w:jc w:val="both"/>
        <w:rPr>
          <w:rFonts w:cstheme="minorHAnsi"/>
          <w:b/>
          <w:sz w:val="24"/>
        </w:rPr>
      </w:pPr>
    </w:p>
    <w:p w14:paraId="04ACE9A3" w14:textId="77777777" w:rsidR="0027315D" w:rsidRDefault="0027315D" w:rsidP="00703505">
      <w:pPr>
        <w:spacing w:after="0" w:line="240" w:lineRule="auto"/>
        <w:jc w:val="both"/>
        <w:rPr>
          <w:rFonts w:cstheme="minorHAnsi"/>
          <w:b/>
          <w:sz w:val="24"/>
        </w:rPr>
      </w:pPr>
    </w:p>
    <w:p w14:paraId="788BD08D" w14:textId="77777777" w:rsidR="0027315D" w:rsidRDefault="0027315D" w:rsidP="00703505">
      <w:pPr>
        <w:spacing w:after="0" w:line="240" w:lineRule="auto"/>
        <w:jc w:val="both"/>
        <w:rPr>
          <w:rFonts w:cstheme="minorHAnsi"/>
          <w:b/>
          <w:sz w:val="24"/>
        </w:rPr>
      </w:pPr>
    </w:p>
    <w:p w14:paraId="26CCB639" w14:textId="77777777" w:rsidR="0027315D" w:rsidRDefault="0027315D" w:rsidP="00703505">
      <w:pPr>
        <w:spacing w:after="0" w:line="240" w:lineRule="auto"/>
        <w:jc w:val="both"/>
        <w:rPr>
          <w:rFonts w:cstheme="minorHAnsi"/>
          <w:b/>
          <w:sz w:val="24"/>
        </w:rPr>
      </w:pPr>
    </w:p>
    <w:p w14:paraId="16776C12" w14:textId="77777777" w:rsidR="0027315D" w:rsidRDefault="0027315D" w:rsidP="00703505">
      <w:pPr>
        <w:spacing w:after="0" w:line="240" w:lineRule="auto"/>
        <w:jc w:val="both"/>
        <w:rPr>
          <w:rFonts w:cstheme="minorHAnsi"/>
          <w:b/>
          <w:sz w:val="24"/>
        </w:rPr>
      </w:pPr>
    </w:p>
    <w:p w14:paraId="7E79AD53" w14:textId="77777777" w:rsidR="0027315D" w:rsidRDefault="0027315D" w:rsidP="00703505">
      <w:pPr>
        <w:spacing w:after="0" w:line="240" w:lineRule="auto"/>
        <w:jc w:val="both"/>
        <w:rPr>
          <w:rFonts w:cstheme="minorHAnsi"/>
          <w:b/>
          <w:sz w:val="24"/>
        </w:rPr>
      </w:pPr>
    </w:p>
    <w:p w14:paraId="1CFB5199" w14:textId="77777777" w:rsidR="0027315D" w:rsidRDefault="0027315D" w:rsidP="00703505">
      <w:pPr>
        <w:spacing w:after="0" w:line="240" w:lineRule="auto"/>
        <w:jc w:val="both"/>
        <w:rPr>
          <w:rFonts w:cstheme="minorHAnsi"/>
          <w:b/>
          <w:sz w:val="24"/>
        </w:rPr>
      </w:pPr>
    </w:p>
    <w:p w14:paraId="70762B94" w14:textId="77777777" w:rsidR="0027315D" w:rsidRDefault="0027315D" w:rsidP="00703505">
      <w:pPr>
        <w:spacing w:after="0" w:line="240" w:lineRule="auto"/>
        <w:jc w:val="both"/>
        <w:rPr>
          <w:rFonts w:cstheme="minorHAnsi"/>
          <w:b/>
          <w:sz w:val="24"/>
        </w:rPr>
      </w:pPr>
    </w:p>
    <w:p w14:paraId="0072B42C" w14:textId="77777777" w:rsidR="0027315D" w:rsidRDefault="0027315D" w:rsidP="00703505">
      <w:pPr>
        <w:spacing w:after="0" w:line="240" w:lineRule="auto"/>
        <w:jc w:val="both"/>
        <w:rPr>
          <w:rFonts w:cstheme="minorHAnsi"/>
          <w:b/>
          <w:sz w:val="24"/>
        </w:rPr>
      </w:pPr>
    </w:p>
    <w:p w14:paraId="4B76A292" w14:textId="77777777" w:rsidR="00AF51F3" w:rsidRDefault="00AF51F3" w:rsidP="00703505">
      <w:pPr>
        <w:spacing w:after="0" w:line="240" w:lineRule="auto"/>
        <w:jc w:val="both"/>
        <w:rPr>
          <w:rFonts w:cstheme="minorHAnsi"/>
          <w:b/>
          <w:sz w:val="24"/>
        </w:rPr>
      </w:pPr>
    </w:p>
    <w:p w14:paraId="2147A9C9" w14:textId="77777777" w:rsidR="00AF51F3" w:rsidRDefault="00AF51F3" w:rsidP="00703505">
      <w:pPr>
        <w:spacing w:after="0" w:line="240" w:lineRule="auto"/>
        <w:jc w:val="both"/>
        <w:rPr>
          <w:rFonts w:cstheme="minorHAnsi"/>
          <w:b/>
          <w:sz w:val="24"/>
        </w:rPr>
      </w:pPr>
      <w:r w:rsidRPr="00AF51F3">
        <w:rPr>
          <w:noProof/>
          <w:lang w:val="es-SV" w:eastAsia="es-SV"/>
        </w:rPr>
        <w:drawing>
          <wp:anchor distT="0" distB="0" distL="114300" distR="114300" simplePos="0" relativeHeight="251715584" behindDoc="0" locked="0" layoutInCell="1" allowOverlap="1" wp14:anchorId="6A5E993D" wp14:editId="4A299E63">
            <wp:simplePos x="0" y="0"/>
            <wp:positionH relativeFrom="margin">
              <wp:posOffset>-116205</wp:posOffset>
            </wp:positionH>
            <wp:positionV relativeFrom="margin">
              <wp:posOffset>2737485</wp:posOffset>
            </wp:positionV>
            <wp:extent cx="5833745" cy="5514975"/>
            <wp:effectExtent l="0" t="0" r="0"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33745" cy="5514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4954CB" w14:textId="77777777" w:rsidR="00AF51F3" w:rsidRDefault="008E59FE" w:rsidP="00703505">
      <w:pPr>
        <w:spacing w:after="0" w:line="240" w:lineRule="auto"/>
        <w:jc w:val="both"/>
        <w:rPr>
          <w:rFonts w:cstheme="minorHAnsi"/>
          <w:b/>
          <w:sz w:val="24"/>
        </w:rPr>
      </w:pPr>
      <w:r w:rsidRPr="008E59FE">
        <w:rPr>
          <w:noProof/>
          <w:lang w:val="es-SV" w:eastAsia="es-SV"/>
        </w:rPr>
        <w:lastRenderedPageBreak/>
        <w:drawing>
          <wp:anchor distT="0" distB="0" distL="114300" distR="114300" simplePos="0" relativeHeight="251716608" behindDoc="0" locked="0" layoutInCell="1" allowOverlap="1" wp14:anchorId="39AE2504" wp14:editId="68CED741">
            <wp:simplePos x="0" y="0"/>
            <wp:positionH relativeFrom="margin">
              <wp:align>left</wp:align>
            </wp:positionH>
            <wp:positionV relativeFrom="margin">
              <wp:posOffset>-114935</wp:posOffset>
            </wp:positionV>
            <wp:extent cx="5704840" cy="8458200"/>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4840" cy="845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46C23D" w14:textId="77777777" w:rsidR="00C102CF" w:rsidRPr="008E59FE" w:rsidRDefault="00AB329F" w:rsidP="00703505">
      <w:pPr>
        <w:spacing w:after="0" w:line="240" w:lineRule="auto"/>
        <w:jc w:val="both"/>
        <w:rPr>
          <w:rFonts w:cstheme="minorHAnsi"/>
          <w:b/>
          <w:sz w:val="28"/>
        </w:rPr>
      </w:pPr>
      <w:r w:rsidRPr="008E59FE">
        <w:rPr>
          <w:rFonts w:cstheme="minorHAnsi"/>
          <w:b/>
          <w:sz w:val="28"/>
        </w:rPr>
        <w:lastRenderedPageBreak/>
        <w:t>Reflexiones:</w:t>
      </w:r>
    </w:p>
    <w:p w14:paraId="2A969DD7" w14:textId="77777777" w:rsidR="00AB329F" w:rsidRPr="007548A3" w:rsidRDefault="00AB329F" w:rsidP="00703505">
      <w:pPr>
        <w:spacing w:after="0" w:line="240" w:lineRule="auto"/>
        <w:jc w:val="both"/>
        <w:rPr>
          <w:rFonts w:cstheme="minorHAnsi"/>
        </w:rPr>
      </w:pPr>
    </w:p>
    <w:p w14:paraId="6F32085C" w14:textId="3AB10C4F" w:rsidR="00BD17AC" w:rsidRDefault="005D36A4" w:rsidP="00AB329F">
      <w:pPr>
        <w:pStyle w:val="Prrafodelista"/>
        <w:numPr>
          <w:ilvl w:val="0"/>
          <w:numId w:val="1"/>
        </w:numPr>
        <w:spacing w:after="0" w:line="276" w:lineRule="auto"/>
        <w:ind w:left="284" w:hanging="284"/>
        <w:jc w:val="both"/>
        <w:rPr>
          <w:rFonts w:cstheme="minorHAnsi"/>
          <w:color w:val="000000" w:themeColor="text1"/>
        </w:rPr>
      </w:pPr>
      <w:r w:rsidRPr="007548A3">
        <w:rPr>
          <w:rFonts w:cstheme="minorHAnsi"/>
          <w:noProof/>
          <w:lang w:val="es-SV" w:eastAsia="es-SV"/>
        </w:rPr>
        <w:drawing>
          <wp:anchor distT="0" distB="0" distL="114300" distR="114300" simplePos="0" relativeHeight="251666432" behindDoc="0" locked="0" layoutInCell="1" allowOverlap="1" wp14:anchorId="6224B96B" wp14:editId="35EA31C9">
            <wp:simplePos x="0" y="0"/>
            <wp:positionH relativeFrom="margin">
              <wp:align>right</wp:align>
            </wp:positionH>
            <wp:positionV relativeFrom="margin">
              <wp:posOffset>2081530</wp:posOffset>
            </wp:positionV>
            <wp:extent cx="5604510" cy="3214370"/>
            <wp:effectExtent l="0" t="0" r="0" b="0"/>
            <wp:wrapSquare wrapText="bothSides"/>
            <wp:docPr id="18" name="Gráfico 18">
              <a:extLst xmlns:a="http://schemas.openxmlformats.org/drawingml/2006/main">
                <a:ext uri="{FF2B5EF4-FFF2-40B4-BE49-F238E27FC236}">
                  <a16:creationId xmlns:a16="http://schemas.microsoft.com/office/drawing/2014/main" id="{00000000-0008-0000-1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BD17AC" w:rsidRPr="007548A3">
        <w:rPr>
          <w:rFonts w:cstheme="minorHAnsi"/>
        </w:rPr>
        <w:t>Nuevamente se prese</w:t>
      </w:r>
      <w:r>
        <w:rPr>
          <w:rFonts w:cstheme="minorHAnsi"/>
        </w:rPr>
        <w:t xml:space="preserve">nta un proyecto de presupuesto de forma </w:t>
      </w:r>
      <w:r w:rsidR="00510771" w:rsidRPr="007548A3">
        <w:rPr>
          <w:rFonts w:cstheme="minorHAnsi"/>
        </w:rPr>
        <w:t>incrementalista</w:t>
      </w:r>
      <w:r>
        <w:rPr>
          <w:rFonts w:cstheme="minorHAnsi"/>
        </w:rPr>
        <w:t xml:space="preserve">, el cual </w:t>
      </w:r>
      <w:r w:rsidR="00510771" w:rsidRPr="007548A3">
        <w:rPr>
          <w:rFonts w:cstheme="minorHAnsi"/>
        </w:rPr>
        <w:t xml:space="preserve">no está </w:t>
      </w:r>
      <w:r w:rsidR="00510771" w:rsidRPr="007548A3">
        <w:rPr>
          <w:rFonts w:cstheme="minorHAnsi"/>
          <w:color w:val="000000" w:themeColor="text1"/>
        </w:rPr>
        <w:t xml:space="preserve">fundamentado por </w:t>
      </w:r>
      <w:r w:rsidR="00BD17AC" w:rsidRPr="007548A3">
        <w:rPr>
          <w:rFonts w:cstheme="minorHAnsi"/>
          <w:color w:val="000000" w:themeColor="text1"/>
        </w:rPr>
        <w:t>un plan estratégico de crecimiento y sustentabilidad económica social</w:t>
      </w:r>
      <w:r w:rsidR="006F6F36">
        <w:rPr>
          <w:rFonts w:cstheme="minorHAnsi"/>
          <w:color w:val="000000" w:themeColor="text1"/>
        </w:rPr>
        <w:t>;</w:t>
      </w:r>
      <w:r w:rsidR="00BD17AC" w:rsidRPr="007548A3">
        <w:rPr>
          <w:rFonts w:cstheme="minorHAnsi"/>
          <w:color w:val="000000" w:themeColor="text1"/>
        </w:rPr>
        <w:t xml:space="preserve"> </w:t>
      </w:r>
      <w:r>
        <w:rPr>
          <w:rFonts w:cstheme="minorHAnsi"/>
          <w:color w:val="000000" w:themeColor="text1"/>
        </w:rPr>
        <w:t>ya que</w:t>
      </w:r>
      <w:r w:rsidR="006F6F36">
        <w:rPr>
          <w:rFonts w:cstheme="minorHAnsi"/>
          <w:color w:val="000000" w:themeColor="text1"/>
        </w:rPr>
        <w:t>,</w:t>
      </w:r>
      <w:r>
        <w:rPr>
          <w:rFonts w:cstheme="minorHAnsi"/>
          <w:color w:val="000000" w:themeColor="text1"/>
        </w:rPr>
        <w:t xml:space="preserve"> de acuerdo a la lámina No. 3, se tiene claro el destino del gasto, pero de acuerdo al mensaje y contenido financiero no se realiza </w:t>
      </w:r>
      <w:r w:rsidR="00510771" w:rsidRPr="007548A3">
        <w:rPr>
          <w:rFonts w:cstheme="minorHAnsi"/>
          <w:color w:val="000000" w:themeColor="text1"/>
        </w:rPr>
        <w:t xml:space="preserve"> </w:t>
      </w:r>
      <w:r w:rsidRPr="007548A3">
        <w:rPr>
          <w:rFonts w:cstheme="minorHAnsi"/>
          <w:color w:val="000000" w:themeColor="text1"/>
        </w:rPr>
        <w:t>un análisis de costo beneficio</w:t>
      </w:r>
      <w:r>
        <w:rPr>
          <w:rFonts w:cstheme="minorHAnsi"/>
          <w:color w:val="000000" w:themeColor="text1"/>
        </w:rPr>
        <w:t xml:space="preserve">, mucho menos del </w:t>
      </w:r>
      <w:r w:rsidR="0027315D">
        <w:rPr>
          <w:rFonts w:cstheme="minorHAnsi"/>
          <w:color w:val="000000" w:themeColor="text1"/>
        </w:rPr>
        <w:t>origen de los ingresos</w:t>
      </w:r>
      <w:r>
        <w:rPr>
          <w:rFonts w:cstheme="minorHAnsi"/>
          <w:color w:val="000000" w:themeColor="text1"/>
        </w:rPr>
        <w:t xml:space="preserve">, pues se satisface la demanda presupuestaria, pero no se visualiza </w:t>
      </w:r>
      <w:r w:rsidR="00510771" w:rsidRPr="007548A3">
        <w:rPr>
          <w:rFonts w:cstheme="minorHAnsi"/>
          <w:color w:val="000000" w:themeColor="text1"/>
        </w:rPr>
        <w:t>el impacto</w:t>
      </w:r>
      <w:r>
        <w:rPr>
          <w:rFonts w:cstheme="minorHAnsi"/>
          <w:color w:val="000000" w:themeColor="text1"/>
        </w:rPr>
        <w:t xml:space="preserve"> o resultado. Esto </w:t>
      </w:r>
      <w:r w:rsidR="00594BAD" w:rsidRPr="007548A3">
        <w:rPr>
          <w:rFonts w:cstheme="minorHAnsi"/>
          <w:color w:val="000000" w:themeColor="text1"/>
        </w:rPr>
        <w:t xml:space="preserve">obliga a cambiar </w:t>
      </w:r>
      <w:r w:rsidR="00BD17AC" w:rsidRPr="007548A3">
        <w:rPr>
          <w:rFonts w:cstheme="minorHAnsi"/>
          <w:color w:val="000000" w:themeColor="text1"/>
        </w:rPr>
        <w:t>la planificación financiera</w:t>
      </w:r>
      <w:r w:rsidR="00594BAD" w:rsidRPr="007548A3">
        <w:rPr>
          <w:rFonts w:cstheme="minorHAnsi"/>
          <w:color w:val="000000" w:themeColor="text1"/>
        </w:rPr>
        <w:t xml:space="preserve"> de corto plazo</w:t>
      </w:r>
      <w:r w:rsidR="00BD17AC" w:rsidRPr="007548A3">
        <w:rPr>
          <w:rFonts w:cstheme="minorHAnsi"/>
          <w:color w:val="000000" w:themeColor="text1"/>
        </w:rPr>
        <w:t xml:space="preserve"> y evaluar sus resultados</w:t>
      </w:r>
      <w:r w:rsidR="00594BAD" w:rsidRPr="007548A3">
        <w:rPr>
          <w:rFonts w:cstheme="minorHAnsi"/>
          <w:color w:val="000000" w:themeColor="text1"/>
        </w:rPr>
        <w:t xml:space="preserve"> de mediano y largo plazo</w:t>
      </w:r>
      <w:r>
        <w:rPr>
          <w:rFonts w:cstheme="minorHAnsi"/>
          <w:color w:val="000000" w:themeColor="text1"/>
        </w:rPr>
        <w:t xml:space="preserve">. Lo anterior se fundamenta solo al observar la tendencia del gasto </w:t>
      </w:r>
      <w:r w:rsidR="0027315D">
        <w:rPr>
          <w:rFonts w:cstheme="minorHAnsi"/>
          <w:color w:val="000000" w:themeColor="text1"/>
        </w:rPr>
        <w:t xml:space="preserve">que </w:t>
      </w:r>
      <w:r>
        <w:rPr>
          <w:rFonts w:cstheme="minorHAnsi"/>
          <w:color w:val="000000" w:themeColor="text1"/>
        </w:rPr>
        <w:t xml:space="preserve">se </w:t>
      </w:r>
      <w:r w:rsidR="0027315D">
        <w:rPr>
          <w:rFonts w:cstheme="minorHAnsi"/>
          <w:color w:val="000000" w:themeColor="text1"/>
        </w:rPr>
        <w:t>muestra la figura No. 4.</w:t>
      </w:r>
    </w:p>
    <w:p w14:paraId="6D77A7A8" w14:textId="77777777" w:rsidR="00F518BF" w:rsidRDefault="00F518BF" w:rsidP="00F518BF">
      <w:pPr>
        <w:pStyle w:val="Prrafodelista"/>
        <w:spacing w:after="0" w:line="276" w:lineRule="auto"/>
        <w:ind w:left="284"/>
        <w:jc w:val="both"/>
        <w:rPr>
          <w:rFonts w:cstheme="minorHAnsi"/>
          <w:color w:val="000000" w:themeColor="text1"/>
        </w:rPr>
      </w:pPr>
    </w:p>
    <w:p w14:paraId="2267CA26" w14:textId="77777777" w:rsidR="005D36A4" w:rsidRPr="007548A3" w:rsidRDefault="005D36A4" w:rsidP="00F518BF">
      <w:pPr>
        <w:pStyle w:val="Prrafodelista"/>
        <w:spacing w:after="0" w:line="276" w:lineRule="auto"/>
        <w:ind w:left="284"/>
        <w:jc w:val="both"/>
        <w:rPr>
          <w:rFonts w:cstheme="minorHAnsi"/>
          <w:color w:val="000000" w:themeColor="text1"/>
        </w:rPr>
      </w:pPr>
    </w:p>
    <w:p w14:paraId="02C2DFDC" w14:textId="1440227D" w:rsidR="00B942DD" w:rsidRPr="007548A3" w:rsidRDefault="00624A0A" w:rsidP="00374E3D">
      <w:pPr>
        <w:pStyle w:val="Prrafodelista"/>
        <w:numPr>
          <w:ilvl w:val="0"/>
          <w:numId w:val="1"/>
        </w:numPr>
        <w:spacing w:after="0" w:line="276" w:lineRule="auto"/>
        <w:ind w:left="284" w:hanging="284"/>
        <w:jc w:val="both"/>
        <w:rPr>
          <w:rFonts w:cstheme="minorHAnsi"/>
          <w:color w:val="FF0000"/>
        </w:rPr>
      </w:pPr>
      <w:r>
        <w:rPr>
          <w:rFonts w:cstheme="minorHAnsi"/>
        </w:rPr>
        <w:t xml:space="preserve">Desde el punto de vista de la teoría de la hacienda pública, </w:t>
      </w:r>
      <w:r w:rsidR="00510771" w:rsidRPr="007548A3">
        <w:rPr>
          <w:rFonts w:cstheme="minorHAnsi"/>
        </w:rPr>
        <w:t xml:space="preserve">el </w:t>
      </w:r>
      <w:r w:rsidR="00B942DD" w:rsidRPr="007548A3">
        <w:rPr>
          <w:rFonts w:cstheme="minorHAnsi"/>
        </w:rPr>
        <w:t>presupuesto</w:t>
      </w:r>
      <w:r>
        <w:rPr>
          <w:rFonts w:cstheme="minorHAnsi"/>
        </w:rPr>
        <w:t xml:space="preserve"> gubernamental</w:t>
      </w:r>
      <w:r w:rsidR="00510771" w:rsidRPr="007548A3">
        <w:rPr>
          <w:rFonts w:cstheme="minorHAnsi"/>
        </w:rPr>
        <w:t>,</w:t>
      </w:r>
      <w:r w:rsidR="00B942DD" w:rsidRPr="007548A3">
        <w:rPr>
          <w:rFonts w:cstheme="minorHAnsi"/>
        </w:rPr>
        <w:t xml:space="preserve"> es un instrumento de estrategia económica</w:t>
      </w:r>
      <w:r>
        <w:rPr>
          <w:rFonts w:cstheme="minorHAnsi"/>
        </w:rPr>
        <w:t xml:space="preserve">; por medio de </w:t>
      </w:r>
      <w:r w:rsidR="006F6F36">
        <w:rPr>
          <w:rFonts w:cstheme="minorHAnsi"/>
        </w:rPr>
        <w:t>este</w:t>
      </w:r>
      <w:r>
        <w:rPr>
          <w:rFonts w:cstheme="minorHAnsi"/>
        </w:rPr>
        <w:t xml:space="preserve"> se busca dinamizar la economía e impactar en indicadores sociales que mejores los niveles de vida de los ciudadanos</w:t>
      </w:r>
      <w:r w:rsidR="00606C52">
        <w:rPr>
          <w:rFonts w:cstheme="minorHAnsi"/>
        </w:rPr>
        <w:t>. Por lo tanto, la</w:t>
      </w:r>
      <w:r w:rsidR="00B942DD" w:rsidRPr="007548A3">
        <w:rPr>
          <w:rFonts w:cstheme="minorHAnsi"/>
        </w:rPr>
        <w:t xml:space="preserve">s estimaciones macroeconómicas que lo fundamentan deben de </w:t>
      </w:r>
      <w:r w:rsidR="00510771" w:rsidRPr="007548A3">
        <w:rPr>
          <w:rFonts w:cstheme="minorHAnsi"/>
        </w:rPr>
        <w:t>ser reales y dinámicas</w:t>
      </w:r>
      <w:r w:rsidR="00606C52">
        <w:rPr>
          <w:rFonts w:cstheme="minorHAnsi"/>
        </w:rPr>
        <w:t xml:space="preserve">, con el fin de alcanzar lo planificado. Una de estas variables reales es la </w:t>
      </w:r>
      <w:r w:rsidR="006F6F36">
        <w:rPr>
          <w:rFonts w:cstheme="minorHAnsi"/>
        </w:rPr>
        <w:t>i</w:t>
      </w:r>
      <w:r w:rsidR="00606C52">
        <w:rPr>
          <w:rFonts w:cstheme="minorHAnsi"/>
        </w:rPr>
        <w:t xml:space="preserve">nversión </w:t>
      </w:r>
      <w:r w:rsidR="006F6F36">
        <w:rPr>
          <w:rFonts w:cstheme="minorHAnsi"/>
        </w:rPr>
        <w:t>p</w:t>
      </w:r>
      <w:r w:rsidR="00606C52">
        <w:rPr>
          <w:rFonts w:cstheme="minorHAnsi"/>
        </w:rPr>
        <w:t>ública, la cual dinamiza la demanda e impacta la sostenibilidad de la economía. P</w:t>
      </w:r>
      <w:r w:rsidR="00510771" w:rsidRPr="007548A3">
        <w:rPr>
          <w:rFonts w:cstheme="minorHAnsi"/>
        </w:rPr>
        <w:t xml:space="preserve">ero </w:t>
      </w:r>
      <w:r w:rsidR="00606C52">
        <w:rPr>
          <w:rFonts w:cstheme="minorHAnsi"/>
        </w:rPr>
        <w:t xml:space="preserve">al analizar </w:t>
      </w:r>
      <w:r w:rsidR="00510771" w:rsidRPr="007548A3">
        <w:rPr>
          <w:rFonts w:cstheme="minorHAnsi"/>
        </w:rPr>
        <w:t xml:space="preserve">la </w:t>
      </w:r>
      <w:r w:rsidR="00606C52">
        <w:rPr>
          <w:rFonts w:cstheme="minorHAnsi"/>
        </w:rPr>
        <w:t xml:space="preserve">ejecución de la </w:t>
      </w:r>
      <w:r w:rsidR="00510771" w:rsidRPr="007548A3">
        <w:rPr>
          <w:rFonts w:cstheme="minorHAnsi"/>
        </w:rPr>
        <w:t xml:space="preserve">inversión pública programada para el año 2021, al mes de agosto </w:t>
      </w:r>
      <w:r w:rsidR="00606C52">
        <w:rPr>
          <w:rFonts w:cstheme="minorHAnsi"/>
        </w:rPr>
        <w:t xml:space="preserve">muestra una ejecución del 30.0% de lo programado equivalente a </w:t>
      </w:r>
      <w:r w:rsidR="00510771" w:rsidRPr="007548A3">
        <w:rPr>
          <w:rFonts w:cstheme="minorHAnsi"/>
        </w:rPr>
        <w:t>$</w:t>
      </w:r>
      <w:r w:rsidR="00A51E49" w:rsidRPr="007548A3">
        <w:rPr>
          <w:rFonts w:cstheme="minorHAnsi"/>
        </w:rPr>
        <w:t xml:space="preserve"> 507.2 millon</w:t>
      </w:r>
      <w:r w:rsidR="0066198D" w:rsidRPr="007548A3">
        <w:rPr>
          <w:rFonts w:cstheme="minorHAnsi"/>
        </w:rPr>
        <w:t>es</w:t>
      </w:r>
      <w:r w:rsidR="00A51E49" w:rsidRPr="007548A3">
        <w:rPr>
          <w:rFonts w:cstheme="minorHAnsi"/>
        </w:rPr>
        <w:t>, siendo lo notable de es</w:t>
      </w:r>
      <w:r w:rsidR="00606C52">
        <w:rPr>
          <w:rFonts w:cstheme="minorHAnsi"/>
        </w:rPr>
        <w:t>e monto un</w:t>
      </w:r>
      <w:r w:rsidR="00A51E49" w:rsidRPr="007548A3">
        <w:rPr>
          <w:rFonts w:cstheme="minorHAnsi"/>
        </w:rPr>
        <w:t xml:space="preserve">a ejecución </w:t>
      </w:r>
      <w:r w:rsidR="00EF1E8E" w:rsidRPr="007548A3">
        <w:rPr>
          <w:rFonts w:cstheme="minorHAnsi"/>
        </w:rPr>
        <w:t>de $</w:t>
      </w:r>
      <w:r w:rsidR="00A51E49" w:rsidRPr="007548A3">
        <w:rPr>
          <w:rFonts w:cstheme="minorHAnsi"/>
        </w:rPr>
        <w:t>227.7 millones</w:t>
      </w:r>
      <w:r w:rsidR="00EF1E8E" w:rsidRPr="007548A3">
        <w:rPr>
          <w:rFonts w:cstheme="minorHAnsi"/>
        </w:rPr>
        <w:t>, que</w:t>
      </w:r>
      <w:r w:rsidR="00A51E49" w:rsidRPr="007548A3">
        <w:rPr>
          <w:rFonts w:cstheme="minorHAnsi"/>
        </w:rPr>
        <w:t xml:space="preserve"> corresponde</w:t>
      </w:r>
      <w:r w:rsidR="00EF1E8E" w:rsidRPr="007548A3">
        <w:rPr>
          <w:rFonts w:cstheme="minorHAnsi"/>
        </w:rPr>
        <w:t>n</w:t>
      </w:r>
      <w:r w:rsidR="00A51E49" w:rsidRPr="007548A3">
        <w:rPr>
          <w:rFonts w:cstheme="minorHAnsi"/>
        </w:rPr>
        <w:t xml:space="preserve"> a gastos corrientes y no obra física,</w:t>
      </w:r>
      <w:r w:rsidR="00606C52">
        <w:rPr>
          <w:rFonts w:cstheme="minorHAnsi"/>
        </w:rPr>
        <w:t xml:space="preserve"> mostrando </w:t>
      </w:r>
      <w:r w:rsidR="00A51E49" w:rsidRPr="007548A3">
        <w:rPr>
          <w:rFonts w:cstheme="minorHAnsi"/>
        </w:rPr>
        <w:t xml:space="preserve">que la ejecución dinámica todavía </w:t>
      </w:r>
      <w:r w:rsidR="00606C52">
        <w:rPr>
          <w:rFonts w:cstheme="minorHAnsi"/>
        </w:rPr>
        <w:t xml:space="preserve">sea </w:t>
      </w:r>
      <w:r w:rsidR="00A51E49" w:rsidRPr="007548A3">
        <w:rPr>
          <w:rFonts w:cstheme="minorHAnsi"/>
        </w:rPr>
        <w:t>menor,</w:t>
      </w:r>
      <w:r w:rsidR="00606C52">
        <w:rPr>
          <w:rFonts w:cstheme="minorHAnsi"/>
        </w:rPr>
        <w:t xml:space="preserve"> y convirtiendo la inversión estimada para el año 2022, en </w:t>
      </w:r>
      <w:r w:rsidR="00A51E49" w:rsidRPr="007548A3">
        <w:rPr>
          <w:rFonts w:cstheme="minorHAnsi"/>
        </w:rPr>
        <w:t xml:space="preserve">proyectos </w:t>
      </w:r>
      <w:r w:rsidR="00606C52">
        <w:rPr>
          <w:rFonts w:cstheme="minorHAnsi"/>
        </w:rPr>
        <w:t>d</w:t>
      </w:r>
      <w:r w:rsidR="00A51E49" w:rsidRPr="007548A3">
        <w:rPr>
          <w:rFonts w:cstheme="minorHAnsi"/>
        </w:rPr>
        <w:t>e arrastre,</w:t>
      </w:r>
      <w:r w:rsidR="00606C52">
        <w:rPr>
          <w:rFonts w:cstheme="minorHAnsi"/>
        </w:rPr>
        <w:t xml:space="preserve"> con la exención que de su ejecución dependen los resultados planificados y la tasa de crecimiento económica estimada.</w:t>
      </w:r>
    </w:p>
    <w:p w14:paraId="0912BC6A" w14:textId="77777777" w:rsidR="00374E3D" w:rsidRDefault="00374E3D" w:rsidP="00374E3D">
      <w:pPr>
        <w:spacing w:after="0" w:line="276" w:lineRule="auto"/>
        <w:ind w:left="284" w:hanging="284"/>
        <w:jc w:val="both"/>
        <w:rPr>
          <w:rFonts w:cstheme="minorHAnsi"/>
          <w:color w:val="FF0000"/>
          <w:sz w:val="20"/>
        </w:rPr>
      </w:pPr>
    </w:p>
    <w:p w14:paraId="2ED2D88C" w14:textId="77777777" w:rsidR="00606C52" w:rsidRPr="00703505" w:rsidRDefault="00270E4D" w:rsidP="00374E3D">
      <w:pPr>
        <w:spacing w:after="0" w:line="276" w:lineRule="auto"/>
        <w:ind w:left="284" w:hanging="284"/>
        <w:jc w:val="both"/>
        <w:rPr>
          <w:rFonts w:cstheme="minorHAnsi"/>
          <w:color w:val="FF0000"/>
          <w:sz w:val="20"/>
        </w:rPr>
      </w:pPr>
      <w:r w:rsidRPr="00270E4D">
        <w:rPr>
          <w:noProof/>
          <w:lang w:val="es-SV" w:eastAsia="es-SV"/>
        </w:rPr>
        <w:lastRenderedPageBreak/>
        <w:drawing>
          <wp:anchor distT="0" distB="0" distL="114300" distR="114300" simplePos="0" relativeHeight="251717632" behindDoc="0" locked="0" layoutInCell="1" allowOverlap="1" wp14:anchorId="7484C5C8" wp14:editId="24A47ABA">
            <wp:simplePos x="0" y="0"/>
            <wp:positionH relativeFrom="margin">
              <wp:posOffset>-335280</wp:posOffset>
            </wp:positionH>
            <wp:positionV relativeFrom="margin">
              <wp:posOffset>4445</wp:posOffset>
            </wp:positionV>
            <wp:extent cx="6251575" cy="2186305"/>
            <wp:effectExtent l="0" t="0" r="0" b="444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51575" cy="218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CA3981" w14:textId="7D0025EB" w:rsidR="00994084" w:rsidRPr="007548A3" w:rsidRDefault="00973F1F" w:rsidP="00374E3D">
      <w:pPr>
        <w:pStyle w:val="Prrafodelista"/>
        <w:numPr>
          <w:ilvl w:val="0"/>
          <w:numId w:val="1"/>
        </w:numPr>
        <w:spacing w:after="0" w:line="276" w:lineRule="auto"/>
        <w:ind w:left="284" w:hanging="284"/>
        <w:jc w:val="both"/>
        <w:rPr>
          <w:rFonts w:cstheme="minorHAnsi"/>
          <w:color w:val="000000" w:themeColor="text1"/>
        </w:rPr>
      </w:pPr>
      <w:r>
        <w:rPr>
          <w:rFonts w:cstheme="minorHAnsi"/>
          <w:noProof/>
          <w:color w:val="FF0000"/>
          <w:lang w:val="es-SV" w:eastAsia="es-SV"/>
        </w:rPr>
        <w:drawing>
          <wp:anchor distT="0" distB="0" distL="114300" distR="114300" simplePos="0" relativeHeight="251695104" behindDoc="0" locked="0" layoutInCell="1" allowOverlap="1" wp14:anchorId="5504E8CB" wp14:editId="38638891">
            <wp:simplePos x="0" y="0"/>
            <wp:positionH relativeFrom="margin">
              <wp:posOffset>-225425</wp:posOffset>
            </wp:positionH>
            <wp:positionV relativeFrom="margin">
              <wp:posOffset>5580380</wp:posOffset>
            </wp:positionV>
            <wp:extent cx="6082665" cy="2672715"/>
            <wp:effectExtent l="0" t="0" r="0" b="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82665" cy="2672715"/>
                    </a:xfrm>
                    <a:prstGeom prst="rect">
                      <a:avLst/>
                    </a:prstGeom>
                    <a:noFill/>
                  </pic:spPr>
                </pic:pic>
              </a:graphicData>
            </a:graphic>
            <wp14:sizeRelH relativeFrom="margin">
              <wp14:pctWidth>0</wp14:pctWidth>
            </wp14:sizeRelH>
            <wp14:sizeRelV relativeFrom="margin">
              <wp14:pctHeight>0</wp14:pctHeight>
            </wp14:sizeRelV>
          </wp:anchor>
        </w:drawing>
      </w:r>
      <w:r w:rsidR="00270E4D">
        <w:rPr>
          <w:rFonts w:cstheme="minorHAnsi"/>
        </w:rPr>
        <w:t xml:space="preserve">El comportamiento de la Inversión Pública, la cual es una variable real de incidencia en la demanda agregada, y de sustentabilidad económica de largo plazo, </w:t>
      </w:r>
      <w:r w:rsidR="00A51E49" w:rsidRPr="007548A3">
        <w:rPr>
          <w:rFonts w:cstheme="minorHAnsi"/>
        </w:rPr>
        <w:t>contradice el análisis realizado por el B</w:t>
      </w:r>
      <w:r w:rsidR="006F6F36">
        <w:rPr>
          <w:rFonts w:cstheme="minorHAnsi"/>
        </w:rPr>
        <w:t xml:space="preserve">anco </w:t>
      </w:r>
      <w:r w:rsidR="00A51E49" w:rsidRPr="007548A3">
        <w:rPr>
          <w:rFonts w:cstheme="minorHAnsi"/>
        </w:rPr>
        <w:t>C</w:t>
      </w:r>
      <w:r w:rsidR="006F6F36">
        <w:rPr>
          <w:rFonts w:cstheme="minorHAnsi"/>
        </w:rPr>
        <w:t xml:space="preserve">entral de </w:t>
      </w:r>
      <w:r w:rsidR="00A51E49" w:rsidRPr="007548A3">
        <w:rPr>
          <w:rFonts w:cstheme="minorHAnsi"/>
        </w:rPr>
        <w:t>R</w:t>
      </w:r>
      <w:r w:rsidR="006F6F36">
        <w:rPr>
          <w:rFonts w:cstheme="minorHAnsi"/>
        </w:rPr>
        <w:t>eserva (BCR)</w:t>
      </w:r>
      <w:r w:rsidR="00A51E49" w:rsidRPr="007548A3">
        <w:rPr>
          <w:rFonts w:cstheme="minorHAnsi"/>
        </w:rPr>
        <w:t xml:space="preserve"> respecto al crecimiento nominal de la economía, pues</w:t>
      </w:r>
      <w:r w:rsidR="00994084" w:rsidRPr="007548A3">
        <w:rPr>
          <w:rFonts w:cstheme="minorHAnsi"/>
        </w:rPr>
        <w:t xml:space="preserve"> al visualizar el comportamiento de la actividad económica, el repunte económico </w:t>
      </w:r>
      <w:r w:rsidR="00EF1E8E" w:rsidRPr="007548A3">
        <w:rPr>
          <w:rFonts w:cstheme="minorHAnsi"/>
        </w:rPr>
        <w:t xml:space="preserve">no </w:t>
      </w:r>
      <w:r w:rsidR="00994084" w:rsidRPr="007548A3">
        <w:rPr>
          <w:rFonts w:cstheme="minorHAnsi"/>
        </w:rPr>
        <w:t>es sustentado con proyectos de inversión y con la actividad económica programada</w:t>
      </w:r>
      <w:r w:rsidR="000F06B5">
        <w:rPr>
          <w:rFonts w:cstheme="minorHAnsi"/>
        </w:rPr>
        <w:t>;</w:t>
      </w:r>
      <w:r w:rsidR="00994084" w:rsidRPr="007548A3">
        <w:rPr>
          <w:rFonts w:cstheme="minorHAnsi"/>
        </w:rPr>
        <w:t xml:space="preserve"> de nuevo se depende de variables nominales como las remesas familiares y del crecimiento de las expectativas del comercio externo, sin tener en cuenta la variabilidad de los derivados del </w:t>
      </w:r>
      <w:r w:rsidR="00994084" w:rsidRPr="007548A3">
        <w:rPr>
          <w:rFonts w:cstheme="minorHAnsi"/>
          <w:color w:val="000000" w:themeColor="text1"/>
        </w:rPr>
        <w:t>petróleo y</w:t>
      </w:r>
      <w:r w:rsidR="003D4807" w:rsidRPr="007548A3">
        <w:rPr>
          <w:rFonts w:cstheme="minorHAnsi"/>
          <w:color w:val="000000" w:themeColor="text1"/>
        </w:rPr>
        <w:t xml:space="preserve"> de los productos tradicionales que buscan mercados más estables</w:t>
      </w:r>
      <w:r w:rsidR="000F06B5">
        <w:rPr>
          <w:rFonts w:cstheme="minorHAnsi"/>
          <w:color w:val="000000" w:themeColor="text1"/>
        </w:rPr>
        <w:t>.</w:t>
      </w:r>
      <w:r w:rsidR="00D126D4" w:rsidRPr="007548A3">
        <w:rPr>
          <w:rFonts w:cstheme="minorHAnsi"/>
          <w:color w:val="000000" w:themeColor="text1"/>
        </w:rPr>
        <w:t xml:space="preserve"> </w:t>
      </w:r>
      <w:r w:rsidR="000F06B5">
        <w:rPr>
          <w:rFonts w:cstheme="minorHAnsi"/>
          <w:color w:val="000000" w:themeColor="text1"/>
        </w:rPr>
        <w:t>A</w:t>
      </w:r>
      <w:r w:rsidR="00D126D4" w:rsidRPr="007548A3">
        <w:rPr>
          <w:rFonts w:cstheme="minorHAnsi"/>
          <w:color w:val="000000" w:themeColor="text1"/>
        </w:rPr>
        <w:t>unado a esto</w:t>
      </w:r>
      <w:r w:rsidR="000F06B5">
        <w:rPr>
          <w:rFonts w:cstheme="minorHAnsi"/>
          <w:color w:val="000000" w:themeColor="text1"/>
        </w:rPr>
        <w:t>,</w:t>
      </w:r>
      <w:r w:rsidR="00D126D4" w:rsidRPr="007548A3">
        <w:rPr>
          <w:rFonts w:cstheme="minorHAnsi"/>
          <w:color w:val="000000" w:themeColor="text1"/>
        </w:rPr>
        <w:t xml:space="preserve"> </w:t>
      </w:r>
      <w:r w:rsidR="000F06B5">
        <w:rPr>
          <w:rFonts w:cstheme="minorHAnsi"/>
          <w:color w:val="000000" w:themeColor="text1"/>
        </w:rPr>
        <w:t>todavía</w:t>
      </w:r>
      <w:r w:rsidR="00D126D4" w:rsidRPr="007548A3">
        <w:rPr>
          <w:rFonts w:cstheme="minorHAnsi"/>
          <w:color w:val="000000" w:themeColor="text1"/>
        </w:rPr>
        <w:t xml:space="preserve"> persisten los efectos de la pandemia del COVID 19,</w:t>
      </w:r>
      <w:r w:rsidR="00EF1E8E" w:rsidRPr="007548A3">
        <w:rPr>
          <w:rFonts w:cstheme="minorHAnsi"/>
          <w:color w:val="000000" w:themeColor="text1"/>
        </w:rPr>
        <w:t xml:space="preserve"> y</w:t>
      </w:r>
      <w:r w:rsidR="00D126D4" w:rsidRPr="007548A3">
        <w:rPr>
          <w:rFonts w:cstheme="minorHAnsi"/>
          <w:color w:val="000000" w:themeColor="text1"/>
        </w:rPr>
        <w:t xml:space="preserve"> hoy en día por el comercio externo con respecto a la crisis de los contenedores, los cuales podrían afectar los costos de producción, debido al incremento de precios de los insumos y también de productos finales; por otro lado, el análisis tendencial del PIB pone de manifiesto un estudio técnico realizado por Luis Aquino</w:t>
      </w:r>
      <w:r w:rsidR="00733F1A" w:rsidRPr="007548A3">
        <w:rPr>
          <w:rFonts w:cstheme="minorHAnsi"/>
          <w:color w:val="000000" w:themeColor="text1"/>
        </w:rPr>
        <w:t xml:space="preserve"> (20</w:t>
      </w:r>
      <w:r w:rsidR="00591D94" w:rsidRPr="007548A3">
        <w:rPr>
          <w:rFonts w:cstheme="minorHAnsi"/>
          <w:color w:val="000000" w:themeColor="text1"/>
        </w:rPr>
        <w:t>20</w:t>
      </w:r>
      <w:r w:rsidR="00733F1A" w:rsidRPr="007548A3">
        <w:rPr>
          <w:rFonts w:cstheme="minorHAnsi"/>
          <w:color w:val="000000" w:themeColor="text1"/>
        </w:rPr>
        <w:t>, 3</w:t>
      </w:r>
      <w:r w:rsidR="00591D94" w:rsidRPr="007548A3">
        <w:rPr>
          <w:rFonts w:cstheme="minorHAnsi"/>
          <w:color w:val="000000" w:themeColor="text1"/>
        </w:rPr>
        <w:t>3</w:t>
      </w:r>
      <w:r w:rsidR="00733F1A" w:rsidRPr="007548A3">
        <w:rPr>
          <w:rFonts w:cstheme="minorHAnsi"/>
          <w:color w:val="000000" w:themeColor="text1"/>
        </w:rPr>
        <w:t>) denominado “</w:t>
      </w:r>
      <w:r w:rsidR="00591D94" w:rsidRPr="007548A3">
        <w:rPr>
          <w:rFonts w:cstheme="minorHAnsi"/>
          <w:color w:val="000000" w:themeColor="text1"/>
        </w:rPr>
        <w:t>PIB Potencial y ciclo económico de El Salvador Función de producción y Filtros Invariados”</w:t>
      </w:r>
      <w:r w:rsidR="00D126D4" w:rsidRPr="007548A3">
        <w:rPr>
          <w:rFonts w:cstheme="minorHAnsi"/>
          <w:color w:val="000000" w:themeColor="text1"/>
        </w:rPr>
        <w:t xml:space="preserve">, en donde </w:t>
      </w:r>
      <w:r w:rsidR="00733F1A" w:rsidRPr="007548A3">
        <w:rPr>
          <w:rFonts w:cstheme="minorHAnsi"/>
          <w:color w:val="000000" w:themeColor="text1"/>
        </w:rPr>
        <w:t xml:space="preserve">expone que </w:t>
      </w:r>
      <w:r w:rsidR="00D126D4" w:rsidRPr="007548A3">
        <w:rPr>
          <w:rFonts w:cstheme="minorHAnsi"/>
          <w:color w:val="000000" w:themeColor="text1"/>
        </w:rPr>
        <w:t xml:space="preserve">la tasa estructural </w:t>
      </w:r>
      <w:r w:rsidR="00733F1A" w:rsidRPr="007548A3">
        <w:rPr>
          <w:rFonts w:cstheme="minorHAnsi"/>
          <w:color w:val="000000" w:themeColor="text1"/>
        </w:rPr>
        <w:t xml:space="preserve">de la economía </w:t>
      </w:r>
      <w:r w:rsidR="00D126D4" w:rsidRPr="007548A3">
        <w:rPr>
          <w:rFonts w:cstheme="minorHAnsi"/>
          <w:color w:val="000000" w:themeColor="text1"/>
        </w:rPr>
        <w:t>es del 2.</w:t>
      </w:r>
      <w:r w:rsidR="00D221E7" w:rsidRPr="007548A3">
        <w:rPr>
          <w:rFonts w:cstheme="minorHAnsi"/>
          <w:color w:val="000000" w:themeColor="text1"/>
        </w:rPr>
        <w:t>2</w:t>
      </w:r>
      <w:r w:rsidR="00D126D4" w:rsidRPr="007548A3">
        <w:rPr>
          <w:rFonts w:cstheme="minorHAnsi"/>
          <w:color w:val="000000" w:themeColor="text1"/>
        </w:rPr>
        <w:t xml:space="preserve">%, </w:t>
      </w:r>
      <w:r w:rsidR="005E2C9C" w:rsidRPr="007548A3">
        <w:rPr>
          <w:rFonts w:cstheme="minorHAnsi"/>
          <w:color w:val="000000" w:themeColor="text1"/>
        </w:rPr>
        <w:t xml:space="preserve">y </w:t>
      </w:r>
      <w:r w:rsidR="000F06B5">
        <w:rPr>
          <w:rFonts w:cstheme="minorHAnsi"/>
          <w:color w:val="000000" w:themeColor="text1"/>
        </w:rPr>
        <w:t>(</w:t>
      </w:r>
      <w:r w:rsidR="00D126D4" w:rsidRPr="007548A3">
        <w:rPr>
          <w:rFonts w:cstheme="minorHAnsi"/>
          <w:color w:val="000000" w:themeColor="text1"/>
        </w:rPr>
        <w:t xml:space="preserve">la figura No. </w:t>
      </w:r>
      <w:r w:rsidR="00703505">
        <w:rPr>
          <w:rFonts w:cstheme="minorHAnsi"/>
          <w:color w:val="000000" w:themeColor="text1"/>
        </w:rPr>
        <w:t>5</w:t>
      </w:r>
      <w:r w:rsidR="00D126D4" w:rsidRPr="007548A3">
        <w:rPr>
          <w:rFonts w:cstheme="minorHAnsi"/>
          <w:color w:val="000000" w:themeColor="text1"/>
        </w:rPr>
        <w:t xml:space="preserve"> </w:t>
      </w:r>
      <w:r w:rsidR="000F06B5">
        <w:rPr>
          <w:rFonts w:cstheme="minorHAnsi"/>
          <w:color w:val="000000" w:themeColor="text1"/>
        </w:rPr>
        <w:t>muestra</w:t>
      </w:r>
      <w:r w:rsidR="00D126D4" w:rsidRPr="007548A3">
        <w:rPr>
          <w:rFonts w:cstheme="minorHAnsi"/>
          <w:color w:val="000000" w:themeColor="text1"/>
        </w:rPr>
        <w:t xml:space="preserve"> dicha tasa promedio</w:t>
      </w:r>
      <w:r w:rsidR="000F06B5">
        <w:rPr>
          <w:rFonts w:cstheme="minorHAnsi"/>
          <w:color w:val="000000" w:themeColor="text1"/>
        </w:rPr>
        <w:t>)</w:t>
      </w:r>
      <w:r w:rsidR="005E2C9C" w:rsidRPr="007548A3">
        <w:rPr>
          <w:rFonts w:cstheme="minorHAnsi"/>
          <w:color w:val="000000" w:themeColor="text1"/>
        </w:rPr>
        <w:t>; y que es necesario incentivar la economía salvadoreña en la inversión y no en el sector servicio porque eso deprime los salarios</w:t>
      </w:r>
      <w:r w:rsidR="00D126D4" w:rsidRPr="007548A3">
        <w:rPr>
          <w:rFonts w:cstheme="minorHAnsi"/>
          <w:color w:val="000000" w:themeColor="text1"/>
        </w:rPr>
        <w:t>.</w:t>
      </w:r>
    </w:p>
    <w:p w14:paraId="0E0D05D6" w14:textId="0BE2D104" w:rsidR="009339D9" w:rsidRDefault="00D126D4" w:rsidP="005E2C9C">
      <w:pPr>
        <w:pStyle w:val="Prrafodelista"/>
        <w:numPr>
          <w:ilvl w:val="0"/>
          <w:numId w:val="1"/>
        </w:numPr>
        <w:spacing w:after="0" w:line="276" w:lineRule="auto"/>
        <w:ind w:left="284"/>
        <w:jc w:val="both"/>
        <w:rPr>
          <w:rFonts w:cstheme="minorHAnsi"/>
          <w:color w:val="000000" w:themeColor="text1"/>
        </w:rPr>
      </w:pPr>
      <w:r w:rsidRPr="007548A3">
        <w:rPr>
          <w:rFonts w:cstheme="minorHAnsi"/>
        </w:rPr>
        <w:lastRenderedPageBreak/>
        <w:t xml:space="preserve">El análisis </w:t>
      </w:r>
      <w:r w:rsidR="009339D9">
        <w:rPr>
          <w:rFonts w:cstheme="minorHAnsi"/>
        </w:rPr>
        <w:t>d</w:t>
      </w:r>
      <w:r w:rsidRPr="007548A3">
        <w:rPr>
          <w:rFonts w:cstheme="minorHAnsi"/>
        </w:rPr>
        <w:t xml:space="preserve">el contenido del Presupuesto </w:t>
      </w:r>
      <w:r w:rsidR="009339D9">
        <w:rPr>
          <w:rFonts w:cstheme="minorHAnsi"/>
        </w:rPr>
        <w:t xml:space="preserve">y </w:t>
      </w:r>
      <w:r w:rsidR="009339D9" w:rsidRPr="007548A3">
        <w:rPr>
          <w:rFonts w:cstheme="minorHAnsi"/>
        </w:rPr>
        <w:t>del impacto macroeconómico</w:t>
      </w:r>
      <w:r w:rsidR="009339D9">
        <w:rPr>
          <w:rFonts w:cstheme="minorHAnsi"/>
        </w:rPr>
        <w:t>,</w:t>
      </w:r>
      <w:r w:rsidR="009339D9" w:rsidRPr="007548A3">
        <w:rPr>
          <w:rFonts w:cstheme="minorHAnsi"/>
        </w:rPr>
        <w:t xml:space="preserve"> </w:t>
      </w:r>
      <w:r w:rsidRPr="007548A3">
        <w:rPr>
          <w:rFonts w:cstheme="minorHAnsi"/>
        </w:rPr>
        <w:t>muestra</w:t>
      </w:r>
      <w:r w:rsidR="009339D9">
        <w:rPr>
          <w:rFonts w:cstheme="minorHAnsi"/>
        </w:rPr>
        <w:t xml:space="preserve"> que</w:t>
      </w:r>
      <w:r w:rsidRPr="007548A3">
        <w:rPr>
          <w:rFonts w:cstheme="minorHAnsi"/>
        </w:rPr>
        <w:t xml:space="preserve"> las </w:t>
      </w:r>
      <w:r w:rsidR="00C62596" w:rsidRPr="007548A3">
        <w:rPr>
          <w:rFonts w:cstheme="minorHAnsi"/>
        </w:rPr>
        <w:t>estimaciones de ingresos</w:t>
      </w:r>
      <w:r w:rsidR="009339D9">
        <w:rPr>
          <w:rFonts w:cstheme="minorHAnsi"/>
        </w:rPr>
        <w:t xml:space="preserve"> contienen </w:t>
      </w:r>
      <w:r w:rsidR="00C62596" w:rsidRPr="007548A3">
        <w:rPr>
          <w:rFonts w:cstheme="minorHAnsi"/>
        </w:rPr>
        <w:t xml:space="preserve">un crecimiento </w:t>
      </w:r>
      <w:r w:rsidR="00AB329F" w:rsidRPr="007548A3">
        <w:rPr>
          <w:rFonts w:cstheme="minorHAnsi"/>
        </w:rPr>
        <w:t>del 15.3%</w:t>
      </w:r>
      <w:r w:rsidR="000F06B5">
        <w:rPr>
          <w:rFonts w:cstheme="minorHAnsi"/>
        </w:rPr>
        <w:t>,</w:t>
      </w:r>
      <w:r w:rsidR="009339D9">
        <w:rPr>
          <w:rFonts w:cstheme="minorHAnsi"/>
        </w:rPr>
        <w:t xml:space="preserve"> siendo l</w:t>
      </w:r>
      <w:r w:rsidR="00AB329F" w:rsidRPr="007548A3">
        <w:rPr>
          <w:rFonts w:cstheme="minorHAnsi"/>
        </w:rPr>
        <w:t>os ingresos tributarios</w:t>
      </w:r>
      <w:r w:rsidR="009339D9">
        <w:rPr>
          <w:rFonts w:cstheme="minorHAnsi"/>
        </w:rPr>
        <w:t xml:space="preserve"> los que</w:t>
      </w:r>
      <w:r w:rsidR="00AB329F" w:rsidRPr="007548A3">
        <w:rPr>
          <w:rFonts w:cstheme="minorHAnsi"/>
        </w:rPr>
        <w:t xml:space="preserve"> aporta</w:t>
      </w:r>
      <w:r w:rsidRPr="007548A3">
        <w:rPr>
          <w:rFonts w:cstheme="minorHAnsi"/>
        </w:rPr>
        <w:t xml:space="preserve">rían </w:t>
      </w:r>
      <w:r w:rsidR="00AB329F" w:rsidRPr="007548A3">
        <w:rPr>
          <w:rFonts w:cstheme="minorHAnsi"/>
        </w:rPr>
        <w:t>$978.3 millones</w:t>
      </w:r>
      <w:r w:rsidR="009339D9">
        <w:rPr>
          <w:rFonts w:cstheme="minorHAnsi"/>
        </w:rPr>
        <w:t xml:space="preserve"> extras</w:t>
      </w:r>
      <w:r w:rsidR="00AB329F" w:rsidRPr="007548A3">
        <w:rPr>
          <w:rFonts w:cstheme="minorHAnsi"/>
        </w:rPr>
        <w:t xml:space="preserve">, </w:t>
      </w:r>
      <w:r w:rsidR="00FA3946" w:rsidRPr="007548A3">
        <w:rPr>
          <w:rFonts w:cstheme="minorHAnsi"/>
        </w:rPr>
        <w:t xml:space="preserve">con un crecimiento del 18.9%, </w:t>
      </w:r>
      <w:r w:rsidR="00AB329F" w:rsidRPr="007548A3">
        <w:rPr>
          <w:rFonts w:cstheme="minorHAnsi"/>
        </w:rPr>
        <w:t xml:space="preserve">lo cual es muy </w:t>
      </w:r>
      <w:r w:rsidR="0012136E" w:rsidRPr="007548A3">
        <w:rPr>
          <w:rFonts w:cstheme="minorHAnsi"/>
        </w:rPr>
        <w:t>significativo</w:t>
      </w:r>
      <w:r w:rsidR="009339D9">
        <w:rPr>
          <w:rFonts w:cstheme="minorHAnsi"/>
        </w:rPr>
        <w:t>. Esto es muy importante d</w:t>
      </w:r>
      <w:r w:rsidR="00AB329F" w:rsidRPr="007548A3">
        <w:rPr>
          <w:rFonts w:cstheme="minorHAnsi"/>
        </w:rPr>
        <w:t xml:space="preserve">ada la necesidad de </w:t>
      </w:r>
      <w:r w:rsidR="0012136E" w:rsidRPr="007548A3">
        <w:rPr>
          <w:rFonts w:cstheme="minorHAnsi"/>
          <w:color w:val="000000" w:themeColor="text1"/>
        </w:rPr>
        <w:t xml:space="preserve">recursos que tiene </w:t>
      </w:r>
      <w:r w:rsidR="00AB329F" w:rsidRPr="007548A3">
        <w:rPr>
          <w:rFonts w:cstheme="minorHAnsi"/>
          <w:color w:val="000000" w:themeColor="text1"/>
        </w:rPr>
        <w:t>la hacienda pública, lo observable es que</w:t>
      </w:r>
      <w:r w:rsidR="001A1E17">
        <w:rPr>
          <w:rFonts w:cstheme="minorHAnsi"/>
          <w:color w:val="000000" w:themeColor="text1"/>
        </w:rPr>
        <w:t>,</w:t>
      </w:r>
      <w:r w:rsidR="00AB329F" w:rsidRPr="007548A3">
        <w:rPr>
          <w:rFonts w:cstheme="minorHAnsi"/>
          <w:color w:val="000000" w:themeColor="text1"/>
        </w:rPr>
        <w:t xml:space="preserve"> </w:t>
      </w:r>
      <w:r w:rsidR="0012136E" w:rsidRPr="007548A3">
        <w:rPr>
          <w:rFonts w:cstheme="minorHAnsi"/>
          <w:color w:val="000000" w:themeColor="text1"/>
        </w:rPr>
        <w:t>por ejemplo</w:t>
      </w:r>
      <w:r w:rsidR="009339D9">
        <w:rPr>
          <w:rFonts w:cstheme="minorHAnsi"/>
          <w:color w:val="000000" w:themeColor="text1"/>
        </w:rPr>
        <w:t>,</w:t>
      </w:r>
      <w:r w:rsidR="0012136E" w:rsidRPr="007548A3">
        <w:rPr>
          <w:rFonts w:cstheme="minorHAnsi"/>
          <w:color w:val="000000" w:themeColor="text1"/>
        </w:rPr>
        <w:t xml:space="preserve"> </w:t>
      </w:r>
      <w:r w:rsidR="00AB329F" w:rsidRPr="007548A3">
        <w:rPr>
          <w:rFonts w:cstheme="minorHAnsi"/>
          <w:color w:val="000000" w:themeColor="text1"/>
        </w:rPr>
        <w:t xml:space="preserve">el </w:t>
      </w:r>
      <w:r w:rsidR="0012136E" w:rsidRPr="007548A3">
        <w:rPr>
          <w:rFonts w:cstheme="minorHAnsi"/>
          <w:color w:val="000000" w:themeColor="text1"/>
        </w:rPr>
        <w:t>I</w:t>
      </w:r>
      <w:r w:rsidR="00AB329F" w:rsidRPr="007548A3">
        <w:rPr>
          <w:rFonts w:cstheme="minorHAnsi"/>
          <w:color w:val="000000" w:themeColor="text1"/>
        </w:rPr>
        <w:t xml:space="preserve">mpuesto </w:t>
      </w:r>
      <w:r w:rsidR="001A1E17">
        <w:rPr>
          <w:rFonts w:cstheme="minorHAnsi"/>
          <w:color w:val="000000" w:themeColor="text1"/>
        </w:rPr>
        <w:t>S</w:t>
      </w:r>
      <w:r w:rsidR="00AB329F" w:rsidRPr="007548A3">
        <w:rPr>
          <w:rFonts w:cstheme="minorHAnsi"/>
          <w:color w:val="000000" w:themeColor="text1"/>
        </w:rPr>
        <w:t xml:space="preserve">obre la </w:t>
      </w:r>
      <w:r w:rsidR="0012136E" w:rsidRPr="007548A3">
        <w:rPr>
          <w:rFonts w:cstheme="minorHAnsi"/>
          <w:color w:val="000000" w:themeColor="text1"/>
        </w:rPr>
        <w:t>R</w:t>
      </w:r>
      <w:r w:rsidR="00AB329F" w:rsidRPr="007548A3">
        <w:rPr>
          <w:rFonts w:cstheme="minorHAnsi"/>
          <w:color w:val="000000" w:themeColor="text1"/>
        </w:rPr>
        <w:t>enta</w:t>
      </w:r>
      <w:r w:rsidR="0012136E" w:rsidRPr="007548A3">
        <w:rPr>
          <w:rFonts w:cstheme="minorHAnsi"/>
          <w:color w:val="000000" w:themeColor="text1"/>
        </w:rPr>
        <w:t xml:space="preserve"> </w:t>
      </w:r>
      <w:r w:rsidR="009339D9">
        <w:rPr>
          <w:rFonts w:cstheme="minorHAnsi"/>
          <w:color w:val="000000" w:themeColor="text1"/>
        </w:rPr>
        <w:t>s</w:t>
      </w:r>
      <w:r w:rsidR="006B0B9E" w:rsidRPr="007548A3">
        <w:rPr>
          <w:rFonts w:cstheme="minorHAnsi"/>
          <w:color w:val="000000" w:themeColor="text1"/>
        </w:rPr>
        <w:t>e relaciona con dos variables identificables</w:t>
      </w:r>
      <w:r w:rsidR="009339D9">
        <w:rPr>
          <w:rFonts w:cstheme="minorHAnsi"/>
          <w:color w:val="000000" w:themeColor="text1"/>
        </w:rPr>
        <w:t xml:space="preserve"> las cuales son </w:t>
      </w:r>
      <w:r w:rsidR="006B0B9E" w:rsidRPr="007548A3">
        <w:rPr>
          <w:rFonts w:cstheme="minorHAnsi"/>
          <w:color w:val="000000" w:themeColor="text1"/>
        </w:rPr>
        <w:t>el empleo y los f</w:t>
      </w:r>
      <w:r w:rsidR="009339D9">
        <w:rPr>
          <w:rFonts w:cstheme="minorHAnsi"/>
          <w:color w:val="000000" w:themeColor="text1"/>
        </w:rPr>
        <w:t>lujos de efectivo de las empresas; entonces</w:t>
      </w:r>
      <w:r w:rsidR="001A1E17">
        <w:rPr>
          <w:rFonts w:cstheme="minorHAnsi"/>
          <w:color w:val="000000" w:themeColor="text1"/>
        </w:rPr>
        <w:t>,</w:t>
      </w:r>
      <w:r w:rsidR="009339D9">
        <w:rPr>
          <w:rFonts w:cstheme="minorHAnsi"/>
          <w:color w:val="000000" w:themeColor="text1"/>
        </w:rPr>
        <w:t xml:space="preserve"> debería de mencionarse la tasa estimada de empleo esperado y qu</w:t>
      </w:r>
      <w:r w:rsidR="001A1E17">
        <w:rPr>
          <w:rFonts w:cstheme="minorHAnsi"/>
          <w:color w:val="000000" w:themeColor="text1"/>
        </w:rPr>
        <w:t>é</w:t>
      </w:r>
      <w:r w:rsidR="009339D9">
        <w:rPr>
          <w:rFonts w:cstheme="minorHAnsi"/>
          <w:color w:val="000000" w:themeColor="text1"/>
        </w:rPr>
        <w:t xml:space="preserve"> sector productivo lo generará</w:t>
      </w:r>
      <w:r w:rsidR="001A1E17">
        <w:rPr>
          <w:rFonts w:cstheme="minorHAnsi"/>
          <w:color w:val="000000" w:themeColor="text1"/>
        </w:rPr>
        <w:t>.</w:t>
      </w:r>
      <w:r w:rsidR="009339D9">
        <w:rPr>
          <w:rFonts w:cstheme="minorHAnsi"/>
          <w:color w:val="000000" w:themeColor="text1"/>
        </w:rPr>
        <w:t xml:space="preserve"> </w:t>
      </w:r>
      <w:r w:rsidR="001A1E17">
        <w:rPr>
          <w:rFonts w:cstheme="minorHAnsi"/>
          <w:color w:val="000000" w:themeColor="text1"/>
        </w:rPr>
        <w:t>D</w:t>
      </w:r>
      <w:r w:rsidR="009339D9">
        <w:rPr>
          <w:rFonts w:cstheme="minorHAnsi"/>
          <w:color w:val="000000" w:themeColor="text1"/>
        </w:rPr>
        <w:t>e igual manera, cu</w:t>
      </w:r>
      <w:r w:rsidR="001A1E17">
        <w:rPr>
          <w:rFonts w:cstheme="minorHAnsi"/>
          <w:color w:val="000000" w:themeColor="text1"/>
        </w:rPr>
        <w:t>á</w:t>
      </w:r>
      <w:r w:rsidR="009339D9">
        <w:rPr>
          <w:rFonts w:cstheme="minorHAnsi"/>
          <w:color w:val="000000" w:themeColor="text1"/>
        </w:rPr>
        <w:t xml:space="preserve">les son los proyectos estratégicos </w:t>
      </w:r>
      <w:r w:rsidR="00AB329F" w:rsidRPr="007548A3">
        <w:rPr>
          <w:rFonts w:cstheme="minorHAnsi"/>
          <w:color w:val="000000" w:themeColor="text1"/>
        </w:rPr>
        <w:t>de inversión del sector privado y de fuerte valor agregado</w:t>
      </w:r>
      <w:r w:rsidR="00904497">
        <w:rPr>
          <w:rFonts w:cstheme="minorHAnsi"/>
          <w:color w:val="000000" w:themeColor="text1"/>
        </w:rPr>
        <w:t xml:space="preserve"> que le generarán a las empresas altos flujos de efectivos</w:t>
      </w:r>
      <w:r w:rsidR="001A1E17">
        <w:rPr>
          <w:rFonts w:cstheme="minorHAnsi"/>
          <w:color w:val="000000" w:themeColor="text1"/>
        </w:rPr>
        <w:t>,</w:t>
      </w:r>
      <w:r w:rsidR="00904497">
        <w:rPr>
          <w:rFonts w:cstheme="minorHAnsi"/>
          <w:color w:val="000000" w:themeColor="text1"/>
        </w:rPr>
        <w:t xml:space="preserve"> lo cual aumentará la recaudación</w:t>
      </w:r>
      <w:r w:rsidR="009339D9">
        <w:rPr>
          <w:rFonts w:cstheme="minorHAnsi"/>
          <w:color w:val="000000" w:themeColor="text1"/>
        </w:rPr>
        <w:t xml:space="preserve">. </w:t>
      </w:r>
      <w:r w:rsidR="001A1E17">
        <w:rPr>
          <w:rFonts w:cstheme="minorHAnsi"/>
          <w:color w:val="000000" w:themeColor="text1"/>
        </w:rPr>
        <w:t>También,</w:t>
      </w:r>
      <w:r w:rsidR="009339D9">
        <w:rPr>
          <w:rFonts w:cstheme="minorHAnsi"/>
          <w:color w:val="000000" w:themeColor="text1"/>
        </w:rPr>
        <w:t xml:space="preserve"> la redefinición de la</w:t>
      </w:r>
      <w:r w:rsidR="00AB329F" w:rsidRPr="007548A3">
        <w:rPr>
          <w:rFonts w:cstheme="minorHAnsi"/>
          <w:color w:val="000000" w:themeColor="text1"/>
        </w:rPr>
        <w:t xml:space="preserve"> inversión pública</w:t>
      </w:r>
      <w:r w:rsidR="009339D9">
        <w:rPr>
          <w:rFonts w:cstheme="minorHAnsi"/>
          <w:color w:val="000000" w:themeColor="text1"/>
        </w:rPr>
        <w:t xml:space="preserve"> que no se</w:t>
      </w:r>
      <w:r w:rsidR="001A1E17">
        <w:rPr>
          <w:rFonts w:cstheme="minorHAnsi"/>
          <w:color w:val="000000" w:themeColor="text1"/>
        </w:rPr>
        <w:t xml:space="preserve"> ha</w:t>
      </w:r>
      <w:r w:rsidR="009339D9">
        <w:rPr>
          <w:rFonts w:cstheme="minorHAnsi"/>
          <w:color w:val="000000" w:themeColor="text1"/>
        </w:rPr>
        <w:t xml:space="preserve"> logrado ejecutar  y está programada en el</w:t>
      </w:r>
      <w:r w:rsidR="00AB329F" w:rsidRPr="007548A3">
        <w:rPr>
          <w:rFonts w:cstheme="minorHAnsi"/>
          <w:color w:val="000000" w:themeColor="text1"/>
        </w:rPr>
        <w:t xml:space="preserve"> proyecto de presupuesto 2022</w:t>
      </w:r>
      <w:r w:rsidR="009339D9">
        <w:rPr>
          <w:rFonts w:cstheme="minorHAnsi"/>
          <w:color w:val="000000" w:themeColor="text1"/>
        </w:rPr>
        <w:t>.</w:t>
      </w:r>
    </w:p>
    <w:p w14:paraId="78B571E6" w14:textId="3DF39EDB" w:rsidR="001A1E17" w:rsidRDefault="001A1E17" w:rsidP="001A1E17">
      <w:pPr>
        <w:pStyle w:val="Prrafodelista"/>
        <w:spacing w:after="0" w:line="276" w:lineRule="auto"/>
        <w:ind w:left="284"/>
        <w:jc w:val="both"/>
        <w:rPr>
          <w:rFonts w:cstheme="minorHAnsi"/>
          <w:color w:val="000000" w:themeColor="text1"/>
        </w:rPr>
      </w:pPr>
      <w:r w:rsidRPr="009339D9">
        <w:rPr>
          <w:noProof/>
          <w:lang w:val="es-SV" w:eastAsia="es-SV"/>
        </w:rPr>
        <w:drawing>
          <wp:anchor distT="0" distB="0" distL="114300" distR="114300" simplePos="0" relativeHeight="251718656" behindDoc="0" locked="0" layoutInCell="1" allowOverlap="1" wp14:anchorId="5D7AEDD4" wp14:editId="61137644">
            <wp:simplePos x="0" y="0"/>
            <wp:positionH relativeFrom="margin">
              <wp:posOffset>474345</wp:posOffset>
            </wp:positionH>
            <wp:positionV relativeFrom="margin">
              <wp:posOffset>2303483</wp:posOffset>
            </wp:positionV>
            <wp:extent cx="4839335" cy="1569085"/>
            <wp:effectExtent l="0" t="0" r="0" b="571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39335" cy="1569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A59732" w14:textId="77777777" w:rsidR="001D5D82" w:rsidRDefault="001D5D82" w:rsidP="009339D9">
      <w:pPr>
        <w:pStyle w:val="Prrafodelista"/>
        <w:spacing w:after="0" w:line="276" w:lineRule="auto"/>
        <w:ind w:left="284"/>
        <w:jc w:val="both"/>
        <w:rPr>
          <w:rFonts w:cstheme="minorHAnsi"/>
          <w:color w:val="000000" w:themeColor="text1"/>
        </w:rPr>
      </w:pPr>
    </w:p>
    <w:p w14:paraId="7FA61255" w14:textId="77777777" w:rsidR="001D5D82" w:rsidRDefault="001D5D82" w:rsidP="009339D9">
      <w:pPr>
        <w:pStyle w:val="Prrafodelista"/>
        <w:spacing w:after="0" w:line="276" w:lineRule="auto"/>
        <w:ind w:left="284"/>
        <w:jc w:val="both"/>
        <w:rPr>
          <w:rFonts w:cstheme="minorHAnsi"/>
          <w:color w:val="000000" w:themeColor="text1"/>
        </w:rPr>
      </w:pPr>
    </w:p>
    <w:p w14:paraId="211A376C" w14:textId="77777777" w:rsidR="001D5D82" w:rsidRDefault="001D5D82" w:rsidP="009339D9">
      <w:pPr>
        <w:pStyle w:val="Prrafodelista"/>
        <w:spacing w:after="0" w:line="276" w:lineRule="auto"/>
        <w:ind w:left="284"/>
        <w:jc w:val="both"/>
        <w:rPr>
          <w:rFonts w:cstheme="minorHAnsi"/>
          <w:color w:val="000000" w:themeColor="text1"/>
        </w:rPr>
      </w:pPr>
    </w:p>
    <w:p w14:paraId="05CCFD7C" w14:textId="77777777" w:rsidR="001D5D82" w:rsidRDefault="001D5D82" w:rsidP="009339D9">
      <w:pPr>
        <w:pStyle w:val="Prrafodelista"/>
        <w:spacing w:after="0" w:line="276" w:lineRule="auto"/>
        <w:ind w:left="284"/>
        <w:jc w:val="both"/>
        <w:rPr>
          <w:rFonts w:cstheme="minorHAnsi"/>
          <w:color w:val="000000" w:themeColor="text1"/>
        </w:rPr>
      </w:pPr>
    </w:p>
    <w:p w14:paraId="242529F5" w14:textId="77777777" w:rsidR="001D5D82" w:rsidRDefault="001D5D82" w:rsidP="009339D9">
      <w:pPr>
        <w:pStyle w:val="Prrafodelista"/>
        <w:spacing w:after="0" w:line="276" w:lineRule="auto"/>
        <w:ind w:left="284"/>
        <w:jc w:val="both"/>
        <w:rPr>
          <w:rFonts w:cstheme="minorHAnsi"/>
          <w:color w:val="000000" w:themeColor="text1"/>
        </w:rPr>
      </w:pPr>
    </w:p>
    <w:p w14:paraId="40C7606A" w14:textId="77777777" w:rsidR="001D5D82" w:rsidRDefault="001D5D82" w:rsidP="009339D9">
      <w:pPr>
        <w:pStyle w:val="Prrafodelista"/>
        <w:spacing w:after="0" w:line="276" w:lineRule="auto"/>
        <w:ind w:left="284"/>
        <w:jc w:val="both"/>
        <w:rPr>
          <w:rFonts w:cstheme="minorHAnsi"/>
          <w:color w:val="000000" w:themeColor="text1"/>
        </w:rPr>
      </w:pPr>
    </w:p>
    <w:p w14:paraId="3BCA9621" w14:textId="77777777" w:rsidR="001D5D82" w:rsidRDefault="001D5D82" w:rsidP="009339D9">
      <w:pPr>
        <w:pStyle w:val="Prrafodelista"/>
        <w:spacing w:after="0" w:line="276" w:lineRule="auto"/>
        <w:ind w:left="284"/>
        <w:jc w:val="both"/>
        <w:rPr>
          <w:rFonts w:cstheme="minorHAnsi"/>
          <w:color w:val="000000" w:themeColor="text1"/>
        </w:rPr>
      </w:pPr>
    </w:p>
    <w:p w14:paraId="65EE3EBC" w14:textId="77777777" w:rsidR="001D5D82" w:rsidRDefault="001D5D82" w:rsidP="009339D9">
      <w:pPr>
        <w:pStyle w:val="Prrafodelista"/>
        <w:spacing w:after="0" w:line="276" w:lineRule="auto"/>
        <w:ind w:left="284"/>
        <w:jc w:val="both"/>
        <w:rPr>
          <w:rFonts w:cstheme="minorHAnsi"/>
          <w:color w:val="000000" w:themeColor="text1"/>
        </w:rPr>
      </w:pPr>
    </w:p>
    <w:p w14:paraId="7FE9AED3" w14:textId="1ED72002" w:rsidR="009339D9" w:rsidRDefault="009339D9" w:rsidP="009339D9">
      <w:pPr>
        <w:pStyle w:val="Prrafodelista"/>
        <w:spacing w:after="0" w:line="276" w:lineRule="auto"/>
        <w:ind w:left="284"/>
        <w:jc w:val="both"/>
        <w:rPr>
          <w:rFonts w:cstheme="minorHAnsi"/>
          <w:color w:val="000000" w:themeColor="text1"/>
        </w:rPr>
      </w:pPr>
    </w:p>
    <w:p w14:paraId="42E4D082" w14:textId="10B733F4" w:rsidR="00AB329F" w:rsidRPr="007548A3" w:rsidRDefault="00FB7A93" w:rsidP="009339D9">
      <w:pPr>
        <w:pStyle w:val="Prrafodelista"/>
        <w:spacing w:after="0" w:line="276" w:lineRule="auto"/>
        <w:ind w:left="284"/>
        <w:jc w:val="both"/>
        <w:rPr>
          <w:rFonts w:cstheme="minorHAnsi"/>
          <w:color w:val="000000" w:themeColor="text1"/>
        </w:rPr>
      </w:pPr>
      <w:r>
        <w:rPr>
          <w:rFonts w:cstheme="minorHAnsi"/>
          <w:color w:val="000000" w:themeColor="text1"/>
        </w:rPr>
        <w:t xml:space="preserve">Porque la lámina No. 8, pues sucede que la hacienda pública salvadoreña posee una estructura tributaria indirecta, por lo que la dinámica de la economía la afecta. Por otro lado, solo el hecho de que exista rezago en la </w:t>
      </w:r>
      <w:r w:rsidR="005E2C9C" w:rsidRPr="007548A3">
        <w:rPr>
          <w:rFonts w:cstheme="minorHAnsi"/>
          <w:color w:val="000000" w:themeColor="text1"/>
        </w:rPr>
        <w:t>inversión programada</w:t>
      </w:r>
      <w:r>
        <w:rPr>
          <w:rFonts w:cstheme="minorHAnsi"/>
          <w:color w:val="000000" w:themeColor="text1"/>
        </w:rPr>
        <w:t xml:space="preserve"> para el año 2021, lo convierte en inversión de </w:t>
      </w:r>
      <w:r w:rsidR="00AB329F" w:rsidRPr="007548A3">
        <w:rPr>
          <w:rFonts w:cstheme="minorHAnsi"/>
          <w:color w:val="000000" w:themeColor="text1"/>
        </w:rPr>
        <w:t>arrastre</w:t>
      </w:r>
      <w:r w:rsidR="001A1E17">
        <w:rPr>
          <w:rFonts w:cstheme="minorHAnsi"/>
          <w:color w:val="000000" w:themeColor="text1"/>
        </w:rPr>
        <w:t>,</w:t>
      </w:r>
      <w:r w:rsidR="00AB329F" w:rsidRPr="007548A3">
        <w:rPr>
          <w:rFonts w:cstheme="minorHAnsi"/>
          <w:color w:val="000000" w:themeColor="text1"/>
        </w:rPr>
        <w:t xml:space="preserve"> y no lograr</w:t>
      </w:r>
      <w:r>
        <w:rPr>
          <w:rFonts w:cstheme="minorHAnsi"/>
          <w:color w:val="000000" w:themeColor="text1"/>
        </w:rPr>
        <w:t>á el</w:t>
      </w:r>
      <w:r w:rsidR="00AB329F" w:rsidRPr="007548A3">
        <w:rPr>
          <w:rFonts w:cstheme="minorHAnsi"/>
          <w:color w:val="000000" w:themeColor="text1"/>
        </w:rPr>
        <w:t xml:space="preserve"> impacto esperado.</w:t>
      </w:r>
      <w:r w:rsidR="006B0B9E" w:rsidRPr="007548A3">
        <w:rPr>
          <w:rFonts w:cstheme="minorHAnsi"/>
          <w:color w:val="000000" w:themeColor="text1"/>
        </w:rPr>
        <w:t xml:space="preserve"> </w:t>
      </w:r>
      <w:r>
        <w:rPr>
          <w:rFonts w:cstheme="minorHAnsi"/>
          <w:color w:val="000000" w:themeColor="text1"/>
        </w:rPr>
        <w:t>Lo anterior significa</w:t>
      </w:r>
      <w:r w:rsidR="005D268E">
        <w:rPr>
          <w:rFonts w:cstheme="minorHAnsi"/>
          <w:color w:val="000000" w:themeColor="text1"/>
        </w:rPr>
        <w:t xml:space="preserve"> impacto en los niveles de recaudación e incumplimiento de metas presupuestarias</w:t>
      </w:r>
      <w:r w:rsidR="001A1E17">
        <w:rPr>
          <w:rFonts w:cstheme="minorHAnsi"/>
          <w:color w:val="000000" w:themeColor="text1"/>
        </w:rPr>
        <w:t>.</w:t>
      </w:r>
    </w:p>
    <w:p w14:paraId="5F1FEECE" w14:textId="77777777" w:rsidR="00703505" w:rsidRDefault="00703505" w:rsidP="005E2C9C">
      <w:pPr>
        <w:pStyle w:val="Prrafodelista"/>
        <w:spacing w:after="0" w:line="276" w:lineRule="auto"/>
        <w:ind w:left="284"/>
        <w:jc w:val="both"/>
        <w:rPr>
          <w:rFonts w:cstheme="minorHAnsi"/>
        </w:rPr>
      </w:pPr>
    </w:p>
    <w:p w14:paraId="67193E08" w14:textId="57BC33D5" w:rsidR="00700BEC" w:rsidRDefault="001A1E17" w:rsidP="005E2C9C">
      <w:pPr>
        <w:pStyle w:val="Prrafodelista"/>
        <w:numPr>
          <w:ilvl w:val="0"/>
          <w:numId w:val="1"/>
        </w:numPr>
        <w:spacing w:after="0" w:line="276" w:lineRule="auto"/>
        <w:ind w:left="284" w:hanging="284"/>
        <w:jc w:val="both"/>
        <w:rPr>
          <w:rFonts w:cstheme="minorHAnsi"/>
        </w:rPr>
      </w:pPr>
      <w:r w:rsidRPr="001D5D82">
        <w:rPr>
          <w:noProof/>
          <w:lang w:val="es-SV" w:eastAsia="es-SV"/>
        </w:rPr>
        <w:drawing>
          <wp:anchor distT="0" distB="0" distL="114300" distR="114300" simplePos="0" relativeHeight="251719680" behindDoc="0" locked="0" layoutInCell="1" allowOverlap="1" wp14:anchorId="146531F3" wp14:editId="22EB8613">
            <wp:simplePos x="0" y="0"/>
            <wp:positionH relativeFrom="margin">
              <wp:posOffset>176826</wp:posOffset>
            </wp:positionH>
            <wp:positionV relativeFrom="margin">
              <wp:posOffset>6686517</wp:posOffset>
            </wp:positionV>
            <wp:extent cx="5273040" cy="1788795"/>
            <wp:effectExtent l="0" t="0" r="3810" b="1905"/>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73040" cy="1788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5D82">
        <w:rPr>
          <w:rFonts w:cstheme="minorHAnsi"/>
        </w:rPr>
        <w:t>De acuerdo al análisis general de la clasificación económica del gasto,</w:t>
      </w:r>
      <w:r w:rsidR="00FA3946" w:rsidRPr="007548A3">
        <w:rPr>
          <w:rFonts w:cstheme="minorHAnsi"/>
        </w:rPr>
        <w:t xml:space="preserve"> el gasto corriente</w:t>
      </w:r>
      <w:r w:rsidR="001D5D82">
        <w:rPr>
          <w:rFonts w:cstheme="minorHAnsi"/>
        </w:rPr>
        <w:t xml:space="preserve"> estimado asciende a $5,860.9 millones, con </w:t>
      </w:r>
      <w:r w:rsidR="00DD5AEF" w:rsidRPr="007548A3">
        <w:rPr>
          <w:rFonts w:cstheme="minorHAnsi"/>
        </w:rPr>
        <w:t>un crecimiento del 3.6%</w:t>
      </w:r>
      <w:r w:rsidR="00700BEC" w:rsidRPr="007548A3">
        <w:rPr>
          <w:rFonts w:cstheme="minorHAnsi"/>
        </w:rPr>
        <w:t xml:space="preserve"> </w:t>
      </w:r>
      <w:r w:rsidR="00DD5AEF" w:rsidRPr="007548A3">
        <w:rPr>
          <w:rFonts w:cstheme="minorHAnsi"/>
        </w:rPr>
        <w:t>y</w:t>
      </w:r>
      <w:r w:rsidR="00700BEC" w:rsidRPr="007548A3">
        <w:rPr>
          <w:rFonts w:cstheme="minorHAnsi"/>
        </w:rPr>
        <w:t xml:space="preserve"> representa</w:t>
      </w:r>
      <w:r w:rsidR="001D5D82">
        <w:rPr>
          <w:rFonts w:cstheme="minorHAnsi"/>
        </w:rPr>
        <w:t>ndo</w:t>
      </w:r>
      <w:r w:rsidR="00700BEC" w:rsidRPr="007548A3">
        <w:rPr>
          <w:rFonts w:cstheme="minorHAnsi"/>
        </w:rPr>
        <w:t xml:space="preserve"> el 73.6% del total del </w:t>
      </w:r>
      <w:r>
        <w:rPr>
          <w:rFonts w:cstheme="minorHAnsi"/>
        </w:rPr>
        <w:t>p</w:t>
      </w:r>
      <w:r w:rsidR="00700BEC" w:rsidRPr="007548A3">
        <w:rPr>
          <w:rFonts w:cstheme="minorHAnsi"/>
        </w:rPr>
        <w:t>resupuesto y un</w:t>
      </w:r>
      <w:r w:rsidR="001D5D82">
        <w:rPr>
          <w:rFonts w:cstheme="minorHAnsi"/>
        </w:rPr>
        <w:t>a</w:t>
      </w:r>
      <w:r w:rsidR="00700BEC" w:rsidRPr="007548A3">
        <w:rPr>
          <w:rFonts w:cstheme="minorHAnsi"/>
        </w:rPr>
        <w:t xml:space="preserve"> </w:t>
      </w:r>
      <w:r w:rsidR="001D5D82">
        <w:rPr>
          <w:rFonts w:cstheme="minorHAnsi"/>
        </w:rPr>
        <w:t xml:space="preserve">participación PIB del </w:t>
      </w:r>
      <w:r w:rsidR="00700BEC" w:rsidRPr="007548A3">
        <w:rPr>
          <w:rFonts w:cstheme="minorHAnsi"/>
        </w:rPr>
        <w:t xml:space="preserve">20.3%; mientras que el </w:t>
      </w:r>
      <w:r>
        <w:rPr>
          <w:rFonts w:cstheme="minorHAnsi"/>
        </w:rPr>
        <w:t>g</w:t>
      </w:r>
      <w:r w:rsidR="00700BEC" w:rsidRPr="007548A3">
        <w:rPr>
          <w:rFonts w:cstheme="minorHAnsi"/>
        </w:rPr>
        <w:t xml:space="preserve">asto de </w:t>
      </w:r>
      <w:r>
        <w:rPr>
          <w:rFonts w:cstheme="minorHAnsi"/>
        </w:rPr>
        <w:t>c</w:t>
      </w:r>
      <w:r w:rsidR="00700BEC" w:rsidRPr="007548A3">
        <w:rPr>
          <w:rFonts w:cstheme="minorHAnsi"/>
        </w:rPr>
        <w:t>apital</w:t>
      </w:r>
      <w:r w:rsidR="001D5D82">
        <w:rPr>
          <w:rFonts w:cstheme="minorHAnsi"/>
        </w:rPr>
        <w:t xml:space="preserve"> estimado asciende a $1,594.7 millones</w:t>
      </w:r>
      <w:r w:rsidR="00700BEC" w:rsidRPr="007548A3">
        <w:rPr>
          <w:rFonts w:cstheme="minorHAnsi"/>
        </w:rPr>
        <w:t>,</w:t>
      </w:r>
      <w:r w:rsidR="001D5D82">
        <w:rPr>
          <w:rFonts w:cstheme="minorHAnsi"/>
        </w:rPr>
        <w:t xml:space="preserve"> con un </w:t>
      </w:r>
      <w:r w:rsidR="005D268E">
        <w:rPr>
          <w:rFonts w:cstheme="minorHAnsi"/>
        </w:rPr>
        <w:t>aument</w:t>
      </w:r>
      <w:r w:rsidR="001D5D82">
        <w:rPr>
          <w:rFonts w:cstheme="minorHAnsi"/>
        </w:rPr>
        <w:t>o d</w:t>
      </w:r>
      <w:r w:rsidR="005D268E">
        <w:rPr>
          <w:rFonts w:cstheme="minorHAnsi"/>
        </w:rPr>
        <w:t xml:space="preserve">el </w:t>
      </w:r>
      <w:r w:rsidR="00700BEC" w:rsidRPr="007548A3">
        <w:rPr>
          <w:rFonts w:cstheme="minorHAnsi"/>
        </w:rPr>
        <w:t>7.7%</w:t>
      </w:r>
      <w:r w:rsidR="001D5D82">
        <w:rPr>
          <w:rFonts w:cstheme="minorHAnsi"/>
        </w:rPr>
        <w:t xml:space="preserve">, y con una participación del </w:t>
      </w:r>
      <w:r w:rsidR="00700BEC" w:rsidRPr="007548A3">
        <w:rPr>
          <w:rFonts w:cstheme="minorHAnsi"/>
        </w:rPr>
        <w:t xml:space="preserve">20% </w:t>
      </w:r>
      <w:r w:rsidR="001D5D82">
        <w:rPr>
          <w:rFonts w:cstheme="minorHAnsi"/>
        </w:rPr>
        <w:t xml:space="preserve">en </w:t>
      </w:r>
      <w:r w:rsidR="00700BEC" w:rsidRPr="007548A3">
        <w:rPr>
          <w:rFonts w:cstheme="minorHAnsi"/>
        </w:rPr>
        <w:t>el gasto total estimado</w:t>
      </w:r>
      <w:r>
        <w:rPr>
          <w:rFonts w:cstheme="minorHAnsi"/>
        </w:rPr>
        <w:t>,</w:t>
      </w:r>
      <w:r w:rsidR="00700BEC" w:rsidRPr="007548A3">
        <w:rPr>
          <w:rFonts w:cstheme="minorHAnsi"/>
        </w:rPr>
        <w:t xml:space="preserve"> y un</w:t>
      </w:r>
      <w:r w:rsidR="001D5D82">
        <w:rPr>
          <w:rFonts w:cstheme="minorHAnsi"/>
        </w:rPr>
        <w:t>a participación PIB del</w:t>
      </w:r>
      <w:r w:rsidR="00700BEC" w:rsidRPr="007548A3">
        <w:rPr>
          <w:rFonts w:cstheme="minorHAnsi"/>
        </w:rPr>
        <w:t xml:space="preserve"> 5.5% del PIB</w:t>
      </w:r>
      <w:r>
        <w:rPr>
          <w:rFonts w:cstheme="minorHAnsi"/>
        </w:rPr>
        <w:t>;</w:t>
      </w:r>
      <w:r w:rsidR="00700BEC" w:rsidRPr="007548A3">
        <w:rPr>
          <w:rFonts w:cstheme="minorHAnsi"/>
        </w:rPr>
        <w:t xml:space="preserve"> lo</w:t>
      </w:r>
      <w:r>
        <w:rPr>
          <w:rFonts w:cstheme="minorHAnsi"/>
        </w:rPr>
        <w:t xml:space="preserve"> anterior</w:t>
      </w:r>
      <w:r w:rsidR="00700BEC" w:rsidRPr="007548A3">
        <w:rPr>
          <w:rFonts w:cstheme="minorHAnsi"/>
        </w:rPr>
        <w:t xml:space="preserve"> muestra su bajo aporte a la sostenibilidad económica</w:t>
      </w:r>
      <w:r>
        <w:rPr>
          <w:rFonts w:cstheme="minorHAnsi"/>
        </w:rPr>
        <w:t>.</w:t>
      </w:r>
      <w:r w:rsidR="001D5D82">
        <w:rPr>
          <w:rFonts w:cstheme="minorHAnsi"/>
        </w:rPr>
        <w:t xml:space="preserve"> </w:t>
      </w:r>
      <w:r>
        <w:rPr>
          <w:rFonts w:cstheme="minorHAnsi"/>
        </w:rPr>
        <w:t>L</w:t>
      </w:r>
      <w:r w:rsidR="001D5D82">
        <w:rPr>
          <w:rFonts w:cstheme="minorHAnsi"/>
        </w:rPr>
        <w:t>a amortización del capital del saldo de la deuda es de $512.1 millones, lo que representa un crecimiento del 80.5% respecto al año 2021.</w:t>
      </w:r>
    </w:p>
    <w:p w14:paraId="4E6DBA02" w14:textId="4977382F" w:rsidR="00700BEC" w:rsidRDefault="00061041" w:rsidP="001367E1">
      <w:pPr>
        <w:pStyle w:val="Prrafodelista"/>
        <w:numPr>
          <w:ilvl w:val="0"/>
          <w:numId w:val="1"/>
        </w:numPr>
        <w:spacing w:after="0" w:line="276" w:lineRule="auto"/>
        <w:ind w:left="284" w:hanging="284"/>
        <w:jc w:val="both"/>
        <w:rPr>
          <w:rFonts w:cstheme="minorHAnsi"/>
        </w:rPr>
      </w:pPr>
      <w:r>
        <w:rPr>
          <w:rFonts w:cstheme="minorHAnsi"/>
        </w:rPr>
        <w:lastRenderedPageBreak/>
        <w:t xml:space="preserve">Dentro de la clasificación económica del gasto público, se estudia el destino del gasto y </w:t>
      </w:r>
      <w:r w:rsidR="0080723D" w:rsidRPr="007548A3">
        <w:rPr>
          <w:rFonts w:cstheme="minorHAnsi"/>
        </w:rPr>
        <w:t>se</w:t>
      </w:r>
      <w:r w:rsidR="00700BEC" w:rsidRPr="007548A3">
        <w:rPr>
          <w:rFonts w:cstheme="minorHAnsi"/>
        </w:rPr>
        <w:t xml:space="preserve"> obt</w:t>
      </w:r>
      <w:r w:rsidR="0080723D" w:rsidRPr="007548A3">
        <w:rPr>
          <w:rFonts w:cstheme="minorHAnsi"/>
        </w:rPr>
        <w:t xml:space="preserve">iene </w:t>
      </w:r>
      <w:r w:rsidR="00700BEC" w:rsidRPr="007548A3">
        <w:rPr>
          <w:rFonts w:cstheme="minorHAnsi"/>
        </w:rPr>
        <w:t>el presupuesto por cuenta económica</w:t>
      </w:r>
      <w:r w:rsidR="00DD05BF">
        <w:rPr>
          <w:rFonts w:cstheme="minorHAnsi"/>
        </w:rPr>
        <w:t xml:space="preserve">;  de acuerdo al proyecto de presupuesto para el año 2022, se observa que </w:t>
      </w:r>
      <w:r w:rsidR="00DD5AEF" w:rsidRPr="007548A3">
        <w:rPr>
          <w:rFonts w:cstheme="minorHAnsi"/>
        </w:rPr>
        <w:t>las remuneraciones y las transferencias corrientes</w:t>
      </w:r>
      <w:r w:rsidR="00DD05BF">
        <w:rPr>
          <w:rFonts w:cstheme="minorHAnsi"/>
        </w:rPr>
        <w:t xml:space="preserve"> son las predominantes</w:t>
      </w:r>
      <w:r w:rsidR="00DD5AEF" w:rsidRPr="007548A3">
        <w:rPr>
          <w:rFonts w:cstheme="minorHAnsi"/>
        </w:rPr>
        <w:t>,</w:t>
      </w:r>
      <w:r w:rsidR="00DD05BF">
        <w:rPr>
          <w:rFonts w:cstheme="minorHAnsi"/>
        </w:rPr>
        <w:t xml:space="preserve"> estas últimas contienen los subsidios y las transferencias para </w:t>
      </w:r>
      <w:r w:rsidR="00DD5AEF" w:rsidRPr="007548A3">
        <w:rPr>
          <w:rFonts w:cstheme="minorHAnsi"/>
        </w:rPr>
        <w:t>el Sistemas de Pensiones</w:t>
      </w:r>
      <w:r w:rsidR="00DD05BF">
        <w:rPr>
          <w:rFonts w:cstheme="minorHAnsi"/>
        </w:rPr>
        <w:t xml:space="preserve">, así como las que se </w:t>
      </w:r>
      <w:r w:rsidR="00DD5AEF" w:rsidRPr="007548A3">
        <w:rPr>
          <w:rFonts w:cstheme="minorHAnsi"/>
        </w:rPr>
        <w:t>destinan al mantenimiento vial</w:t>
      </w:r>
      <w:r w:rsidR="00DD05BF">
        <w:rPr>
          <w:rFonts w:cstheme="minorHAnsi"/>
        </w:rPr>
        <w:t xml:space="preserve">, entre otras. Por otro lado, al observar la lámina No. 10, si bien es cierto el gasto de capital aumenta, este se realiza en el rubro de inversiones de capital humano, y lo que se observa es que acá va el programa de compras de computadoras y otros que no son formación de activos. </w:t>
      </w:r>
    </w:p>
    <w:p w14:paraId="0004DD67" w14:textId="5201D280" w:rsidR="001A1E17" w:rsidRPr="007548A3" w:rsidRDefault="001A1E17" w:rsidP="001A1E17">
      <w:pPr>
        <w:pStyle w:val="Prrafodelista"/>
        <w:spacing w:after="0" w:line="276" w:lineRule="auto"/>
        <w:ind w:left="284"/>
        <w:jc w:val="both"/>
        <w:rPr>
          <w:rFonts w:cstheme="minorHAnsi"/>
        </w:rPr>
      </w:pPr>
      <w:r w:rsidRPr="00DD05BF">
        <w:rPr>
          <w:noProof/>
          <w:lang w:val="es-SV" w:eastAsia="es-SV"/>
        </w:rPr>
        <w:drawing>
          <wp:anchor distT="0" distB="0" distL="114300" distR="114300" simplePos="0" relativeHeight="251720704" behindDoc="0" locked="0" layoutInCell="1" allowOverlap="1" wp14:anchorId="0CB0AE25" wp14:editId="31B00C4A">
            <wp:simplePos x="0" y="0"/>
            <wp:positionH relativeFrom="margin">
              <wp:posOffset>529590</wp:posOffset>
            </wp:positionH>
            <wp:positionV relativeFrom="margin">
              <wp:posOffset>1671644</wp:posOffset>
            </wp:positionV>
            <wp:extent cx="4551680" cy="3846195"/>
            <wp:effectExtent l="0" t="0" r="0" b="1905"/>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51680" cy="3846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85B74A" w14:textId="61DF63BA" w:rsidR="00A730AD" w:rsidRDefault="00A730AD" w:rsidP="00DD05BF">
      <w:pPr>
        <w:pStyle w:val="Prrafodelista"/>
        <w:spacing w:after="0" w:line="276" w:lineRule="auto"/>
        <w:ind w:left="284"/>
        <w:jc w:val="center"/>
        <w:rPr>
          <w:rFonts w:cstheme="minorHAnsi"/>
        </w:rPr>
      </w:pPr>
    </w:p>
    <w:p w14:paraId="3ED5868C" w14:textId="77777777" w:rsidR="00A730AD" w:rsidRDefault="00A730AD" w:rsidP="00DD05BF">
      <w:pPr>
        <w:pStyle w:val="Prrafodelista"/>
        <w:spacing w:after="0" w:line="276" w:lineRule="auto"/>
        <w:ind w:left="284"/>
        <w:jc w:val="center"/>
        <w:rPr>
          <w:rFonts w:cstheme="minorHAnsi"/>
        </w:rPr>
      </w:pPr>
    </w:p>
    <w:p w14:paraId="20977B95" w14:textId="77777777" w:rsidR="00A730AD" w:rsidRDefault="00A730AD" w:rsidP="00DD05BF">
      <w:pPr>
        <w:pStyle w:val="Prrafodelista"/>
        <w:spacing w:after="0" w:line="276" w:lineRule="auto"/>
        <w:ind w:left="284"/>
        <w:jc w:val="center"/>
        <w:rPr>
          <w:rFonts w:cstheme="minorHAnsi"/>
        </w:rPr>
      </w:pPr>
    </w:p>
    <w:p w14:paraId="6E6CCAFC" w14:textId="77777777" w:rsidR="00A730AD" w:rsidRDefault="00A730AD" w:rsidP="00DD05BF">
      <w:pPr>
        <w:pStyle w:val="Prrafodelista"/>
        <w:spacing w:after="0" w:line="276" w:lineRule="auto"/>
        <w:ind w:left="284"/>
        <w:jc w:val="center"/>
        <w:rPr>
          <w:rFonts w:cstheme="minorHAnsi"/>
        </w:rPr>
      </w:pPr>
    </w:p>
    <w:p w14:paraId="5EB406CD" w14:textId="77777777" w:rsidR="00A730AD" w:rsidRDefault="00A730AD" w:rsidP="00DD05BF">
      <w:pPr>
        <w:pStyle w:val="Prrafodelista"/>
        <w:spacing w:after="0" w:line="276" w:lineRule="auto"/>
        <w:ind w:left="284"/>
        <w:jc w:val="center"/>
        <w:rPr>
          <w:rFonts w:cstheme="minorHAnsi"/>
        </w:rPr>
      </w:pPr>
    </w:p>
    <w:p w14:paraId="3B75DDFC" w14:textId="77777777" w:rsidR="00A730AD" w:rsidRDefault="00A730AD" w:rsidP="00DD05BF">
      <w:pPr>
        <w:pStyle w:val="Prrafodelista"/>
        <w:spacing w:after="0" w:line="276" w:lineRule="auto"/>
        <w:ind w:left="284"/>
        <w:jc w:val="center"/>
        <w:rPr>
          <w:rFonts w:cstheme="minorHAnsi"/>
        </w:rPr>
      </w:pPr>
    </w:p>
    <w:p w14:paraId="33D1DB86" w14:textId="77777777" w:rsidR="00A730AD" w:rsidRDefault="00A730AD" w:rsidP="00DD05BF">
      <w:pPr>
        <w:pStyle w:val="Prrafodelista"/>
        <w:spacing w:after="0" w:line="276" w:lineRule="auto"/>
        <w:ind w:left="284"/>
        <w:jc w:val="center"/>
        <w:rPr>
          <w:rFonts w:cstheme="minorHAnsi"/>
        </w:rPr>
      </w:pPr>
    </w:p>
    <w:p w14:paraId="14DF6864" w14:textId="77777777" w:rsidR="00A730AD" w:rsidRDefault="00A730AD" w:rsidP="00DD05BF">
      <w:pPr>
        <w:pStyle w:val="Prrafodelista"/>
        <w:spacing w:after="0" w:line="276" w:lineRule="auto"/>
        <w:ind w:left="284"/>
        <w:jc w:val="center"/>
        <w:rPr>
          <w:rFonts w:cstheme="minorHAnsi"/>
        </w:rPr>
      </w:pPr>
    </w:p>
    <w:p w14:paraId="59B48D75" w14:textId="77777777" w:rsidR="00A730AD" w:rsidRDefault="00A730AD" w:rsidP="00DD05BF">
      <w:pPr>
        <w:pStyle w:val="Prrafodelista"/>
        <w:spacing w:after="0" w:line="276" w:lineRule="auto"/>
        <w:ind w:left="284"/>
        <w:jc w:val="center"/>
        <w:rPr>
          <w:rFonts w:cstheme="minorHAnsi"/>
        </w:rPr>
      </w:pPr>
    </w:p>
    <w:p w14:paraId="7EA3A621" w14:textId="77777777" w:rsidR="00A730AD" w:rsidRDefault="00A730AD" w:rsidP="00DD05BF">
      <w:pPr>
        <w:pStyle w:val="Prrafodelista"/>
        <w:spacing w:after="0" w:line="276" w:lineRule="auto"/>
        <w:ind w:left="284"/>
        <w:jc w:val="center"/>
        <w:rPr>
          <w:rFonts w:cstheme="minorHAnsi"/>
        </w:rPr>
      </w:pPr>
    </w:p>
    <w:p w14:paraId="67293E04" w14:textId="77777777" w:rsidR="00A730AD" w:rsidRDefault="00A730AD" w:rsidP="00DD05BF">
      <w:pPr>
        <w:pStyle w:val="Prrafodelista"/>
        <w:spacing w:after="0" w:line="276" w:lineRule="auto"/>
        <w:ind w:left="284"/>
        <w:jc w:val="center"/>
        <w:rPr>
          <w:rFonts w:cstheme="minorHAnsi"/>
        </w:rPr>
      </w:pPr>
    </w:p>
    <w:p w14:paraId="343D0D60" w14:textId="77777777" w:rsidR="00A730AD" w:rsidRDefault="00A730AD" w:rsidP="00DD05BF">
      <w:pPr>
        <w:pStyle w:val="Prrafodelista"/>
        <w:spacing w:after="0" w:line="276" w:lineRule="auto"/>
        <w:ind w:left="284"/>
        <w:jc w:val="center"/>
        <w:rPr>
          <w:rFonts w:cstheme="minorHAnsi"/>
        </w:rPr>
      </w:pPr>
    </w:p>
    <w:p w14:paraId="2536E143" w14:textId="77777777" w:rsidR="00A730AD" w:rsidRDefault="00A730AD" w:rsidP="00DD05BF">
      <w:pPr>
        <w:pStyle w:val="Prrafodelista"/>
        <w:spacing w:after="0" w:line="276" w:lineRule="auto"/>
        <w:ind w:left="284"/>
        <w:jc w:val="center"/>
        <w:rPr>
          <w:rFonts w:cstheme="minorHAnsi"/>
        </w:rPr>
      </w:pPr>
    </w:p>
    <w:p w14:paraId="456C8275" w14:textId="77777777" w:rsidR="00A730AD" w:rsidRDefault="00A730AD" w:rsidP="00DD05BF">
      <w:pPr>
        <w:pStyle w:val="Prrafodelista"/>
        <w:spacing w:after="0" w:line="276" w:lineRule="auto"/>
        <w:ind w:left="284"/>
        <w:jc w:val="center"/>
        <w:rPr>
          <w:rFonts w:cstheme="minorHAnsi"/>
        </w:rPr>
      </w:pPr>
    </w:p>
    <w:p w14:paraId="6ED5A867" w14:textId="77777777" w:rsidR="00A730AD" w:rsidRDefault="00A730AD" w:rsidP="00DD05BF">
      <w:pPr>
        <w:pStyle w:val="Prrafodelista"/>
        <w:spacing w:after="0" w:line="276" w:lineRule="auto"/>
        <w:ind w:left="284"/>
        <w:jc w:val="center"/>
        <w:rPr>
          <w:rFonts w:cstheme="minorHAnsi"/>
        </w:rPr>
      </w:pPr>
    </w:p>
    <w:p w14:paraId="15AA78D2" w14:textId="77777777" w:rsidR="00A730AD" w:rsidRDefault="00A730AD" w:rsidP="00DD05BF">
      <w:pPr>
        <w:pStyle w:val="Prrafodelista"/>
        <w:spacing w:after="0" w:line="276" w:lineRule="auto"/>
        <w:ind w:left="284"/>
        <w:jc w:val="center"/>
        <w:rPr>
          <w:rFonts w:cstheme="minorHAnsi"/>
        </w:rPr>
      </w:pPr>
    </w:p>
    <w:p w14:paraId="47E9DE70" w14:textId="77777777" w:rsidR="008E2364" w:rsidRDefault="008E2364" w:rsidP="00DD05BF">
      <w:pPr>
        <w:pStyle w:val="Prrafodelista"/>
        <w:spacing w:after="0" w:line="276" w:lineRule="auto"/>
        <w:ind w:left="284"/>
        <w:jc w:val="center"/>
        <w:rPr>
          <w:rFonts w:cstheme="minorHAnsi"/>
        </w:rPr>
      </w:pPr>
    </w:p>
    <w:p w14:paraId="720759D5" w14:textId="77777777" w:rsidR="00A730AD" w:rsidRDefault="00A730AD" w:rsidP="00DD05BF">
      <w:pPr>
        <w:pStyle w:val="Prrafodelista"/>
        <w:spacing w:after="0" w:line="276" w:lineRule="auto"/>
        <w:ind w:left="284"/>
        <w:jc w:val="center"/>
        <w:rPr>
          <w:rFonts w:cstheme="minorHAnsi"/>
        </w:rPr>
      </w:pPr>
    </w:p>
    <w:p w14:paraId="1F0E36D8" w14:textId="77777777" w:rsidR="00A730AD" w:rsidRDefault="00A730AD" w:rsidP="00DD05BF">
      <w:pPr>
        <w:pStyle w:val="Prrafodelista"/>
        <w:spacing w:after="0" w:line="276" w:lineRule="auto"/>
        <w:ind w:left="284"/>
        <w:jc w:val="center"/>
        <w:rPr>
          <w:rFonts w:cstheme="minorHAnsi"/>
        </w:rPr>
      </w:pPr>
    </w:p>
    <w:p w14:paraId="7F5AB6AF" w14:textId="77777777" w:rsidR="00A730AD" w:rsidRDefault="00A730AD" w:rsidP="00DD05BF">
      <w:pPr>
        <w:pStyle w:val="Prrafodelista"/>
        <w:spacing w:after="0" w:line="276" w:lineRule="auto"/>
        <w:ind w:left="284"/>
        <w:jc w:val="center"/>
        <w:rPr>
          <w:rFonts w:cstheme="minorHAnsi"/>
        </w:rPr>
      </w:pPr>
    </w:p>
    <w:p w14:paraId="561F5CF2" w14:textId="77777777" w:rsidR="00A730AD" w:rsidRDefault="00A730AD" w:rsidP="00DD05BF">
      <w:pPr>
        <w:pStyle w:val="Prrafodelista"/>
        <w:spacing w:after="0" w:line="276" w:lineRule="auto"/>
        <w:ind w:left="284"/>
        <w:jc w:val="center"/>
        <w:rPr>
          <w:rFonts w:cstheme="minorHAnsi"/>
        </w:rPr>
      </w:pPr>
    </w:p>
    <w:p w14:paraId="7277A2E7" w14:textId="77777777" w:rsidR="00364F2D" w:rsidRDefault="00A730AD" w:rsidP="00364F2D">
      <w:pPr>
        <w:pStyle w:val="Prrafodelista"/>
        <w:numPr>
          <w:ilvl w:val="0"/>
          <w:numId w:val="1"/>
        </w:numPr>
        <w:spacing w:after="0" w:line="276" w:lineRule="auto"/>
        <w:ind w:left="284" w:hanging="284"/>
        <w:jc w:val="both"/>
        <w:rPr>
          <w:rFonts w:cstheme="minorHAnsi"/>
        </w:rPr>
      </w:pPr>
      <w:r>
        <w:rPr>
          <w:rFonts w:cstheme="minorHAnsi"/>
        </w:rPr>
        <w:t>D</w:t>
      </w:r>
      <w:r w:rsidR="000C047F" w:rsidRPr="007548A3">
        <w:rPr>
          <w:rFonts w:cstheme="minorHAnsi"/>
        </w:rPr>
        <w:t>e acuerdo a los datos calculados</w:t>
      </w:r>
      <w:r w:rsidR="003B4A85" w:rsidRPr="007548A3">
        <w:rPr>
          <w:rFonts w:cstheme="minorHAnsi"/>
        </w:rPr>
        <w:t xml:space="preserve"> en la lámina No. </w:t>
      </w:r>
      <w:r>
        <w:rPr>
          <w:rFonts w:cstheme="minorHAnsi"/>
        </w:rPr>
        <w:t>11</w:t>
      </w:r>
      <w:r w:rsidR="003B4A85" w:rsidRPr="007548A3">
        <w:rPr>
          <w:rFonts w:cstheme="minorHAnsi"/>
        </w:rPr>
        <w:t>,</w:t>
      </w:r>
      <w:r w:rsidR="000C047F" w:rsidRPr="007548A3">
        <w:rPr>
          <w:rFonts w:cstheme="minorHAnsi"/>
        </w:rPr>
        <w:t xml:space="preserve"> la disponibilidad fiscal cada </w:t>
      </w:r>
      <w:r w:rsidR="0080723D" w:rsidRPr="007548A3">
        <w:rPr>
          <w:rFonts w:cstheme="minorHAnsi"/>
        </w:rPr>
        <w:t>día</w:t>
      </w:r>
      <w:r w:rsidR="000C047F" w:rsidRPr="007548A3">
        <w:rPr>
          <w:rFonts w:cstheme="minorHAnsi"/>
        </w:rPr>
        <w:t xml:space="preserve"> presenta problemas</w:t>
      </w:r>
      <w:r w:rsidR="009316D1" w:rsidRPr="007548A3">
        <w:rPr>
          <w:rFonts w:cstheme="minorHAnsi"/>
        </w:rPr>
        <w:t xml:space="preserve"> de financiamiento</w:t>
      </w:r>
      <w:r w:rsidR="00C74FC6">
        <w:rPr>
          <w:rFonts w:cstheme="minorHAnsi"/>
        </w:rPr>
        <w:t>;</w:t>
      </w:r>
      <w:r w:rsidR="009316D1" w:rsidRPr="007548A3">
        <w:rPr>
          <w:rFonts w:cstheme="minorHAnsi"/>
        </w:rPr>
        <w:t xml:space="preserve"> muestra de ello son los condicionantes que establece el mercado financiero interno para la colocación de LETES y CETES</w:t>
      </w:r>
      <w:r w:rsidR="00C74FC6">
        <w:rPr>
          <w:rFonts w:cstheme="minorHAnsi"/>
        </w:rPr>
        <w:t>.</w:t>
      </w:r>
      <w:r w:rsidR="009316D1" w:rsidRPr="007548A3">
        <w:rPr>
          <w:rFonts w:cstheme="minorHAnsi"/>
        </w:rPr>
        <w:t xml:space="preserve"> </w:t>
      </w:r>
      <w:r w:rsidR="00C74FC6">
        <w:rPr>
          <w:rFonts w:cstheme="minorHAnsi"/>
        </w:rPr>
        <w:t>P</w:t>
      </w:r>
      <w:r w:rsidR="009316D1" w:rsidRPr="007548A3">
        <w:rPr>
          <w:rFonts w:cstheme="minorHAnsi"/>
        </w:rPr>
        <w:t>or otro lado,</w:t>
      </w:r>
      <w:r w:rsidR="000C047F" w:rsidRPr="007548A3">
        <w:rPr>
          <w:rFonts w:cstheme="minorHAnsi"/>
        </w:rPr>
        <w:t xml:space="preserve"> el mismo presupuesto para el año 2022</w:t>
      </w:r>
      <w:r w:rsidR="009316D1" w:rsidRPr="007548A3">
        <w:rPr>
          <w:rFonts w:cstheme="minorHAnsi"/>
        </w:rPr>
        <w:t xml:space="preserve"> refleja </w:t>
      </w:r>
      <w:r w:rsidR="000C047F" w:rsidRPr="007548A3">
        <w:rPr>
          <w:rFonts w:cstheme="minorHAnsi"/>
        </w:rPr>
        <w:t>un incremento del gasto, sin tener en cuenta el problema del financiamiento</w:t>
      </w:r>
      <w:r w:rsidR="00C74FC6">
        <w:rPr>
          <w:rFonts w:cstheme="minorHAnsi"/>
        </w:rPr>
        <w:t>;</w:t>
      </w:r>
      <w:r w:rsidR="000C047F" w:rsidRPr="007548A3">
        <w:rPr>
          <w:rFonts w:cstheme="minorHAnsi"/>
        </w:rPr>
        <w:t xml:space="preserve"> muestra de ello es el déficit estructural que </w:t>
      </w:r>
      <w:r w:rsidR="00C74FC6">
        <w:rPr>
          <w:rFonts w:cstheme="minorHAnsi"/>
        </w:rPr>
        <w:t>refleja</w:t>
      </w:r>
      <w:r w:rsidR="000C047F" w:rsidRPr="007548A3">
        <w:rPr>
          <w:rFonts w:cstheme="minorHAnsi"/>
        </w:rPr>
        <w:t xml:space="preserve"> la situación financiera del 2020 y del 2021, </w:t>
      </w:r>
      <w:r w:rsidR="005B50FB" w:rsidRPr="007548A3">
        <w:rPr>
          <w:rFonts w:cstheme="minorHAnsi"/>
        </w:rPr>
        <w:t xml:space="preserve">el mismo mensaje expositivo del presupuesto, </w:t>
      </w:r>
      <w:r w:rsidR="000C047F" w:rsidRPr="007548A3">
        <w:rPr>
          <w:rFonts w:cstheme="minorHAnsi"/>
        </w:rPr>
        <w:t>no hace mención cu</w:t>
      </w:r>
      <w:r w:rsidR="00C74FC6">
        <w:rPr>
          <w:rFonts w:cstheme="minorHAnsi"/>
        </w:rPr>
        <w:t>á</w:t>
      </w:r>
      <w:r w:rsidR="000C047F" w:rsidRPr="007548A3">
        <w:rPr>
          <w:rFonts w:cstheme="minorHAnsi"/>
        </w:rPr>
        <w:t>l es la estrategia para cubrir</w:t>
      </w:r>
      <w:r w:rsidR="0080723D" w:rsidRPr="007548A3">
        <w:rPr>
          <w:rFonts w:cstheme="minorHAnsi"/>
        </w:rPr>
        <w:t xml:space="preserve"> dicho resultado financiero, y </w:t>
      </w:r>
      <w:r w:rsidR="000C047F" w:rsidRPr="007548A3">
        <w:rPr>
          <w:rFonts w:cstheme="minorHAnsi"/>
        </w:rPr>
        <w:t xml:space="preserve">que </w:t>
      </w:r>
      <w:r w:rsidR="0080723D" w:rsidRPr="007548A3">
        <w:rPr>
          <w:rFonts w:cstheme="minorHAnsi"/>
        </w:rPr>
        <w:t xml:space="preserve">solo para </w:t>
      </w:r>
      <w:r w:rsidR="000C047F" w:rsidRPr="007548A3">
        <w:rPr>
          <w:rFonts w:cstheme="minorHAnsi"/>
        </w:rPr>
        <w:t>el 2020 fue de $54</w:t>
      </w:r>
      <w:r w:rsidR="003B4A85" w:rsidRPr="007548A3">
        <w:rPr>
          <w:rFonts w:cstheme="minorHAnsi"/>
        </w:rPr>
        <w:t>9</w:t>
      </w:r>
      <w:r w:rsidR="000C047F" w:rsidRPr="007548A3">
        <w:rPr>
          <w:rFonts w:cstheme="minorHAnsi"/>
        </w:rPr>
        <w:t>.7 millones de dólares, esto supone el</w:t>
      </w:r>
      <w:r w:rsidR="005B50FB" w:rsidRPr="007548A3">
        <w:rPr>
          <w:rFonts w:cstheme="minorHAnsi"/>
        </w:rPr>
        <w:t xml:space="preserve"> aumento de la </w:t>
      </w:r>
      <w:r w:rsidR="000C047F" w:rsidRPr="007548A3">
        <w:rPr>
          <w:rFonts w:cstheme="minorHAnsi"/>
        </w:rPr>
        <w:t>deuda flotante</w:t>
      </w:r>
      <w:r w:rsidR="00C74FC6">
        <w:rPr>
          <w:rFonts w:cstheme="minorHAnsi"/>
        </w:rPr>
        <w:t>,</w:t>
      </w:r>
      <w:r w:rsidR="005B50FB" w:rsidRPr="007548A3">
        <w:rPr>
          <w:rFonts w:cstheme="minorHAnsi"/>
        </w:rPr>
        <w:t xml:space="preserve"> que al mes de agosto asciende a $2,313.5 millones con </w:t>
      </w:r>
      <w:r w:rsidR="003B4A85" w:rsidRPr="007548A3">
        <w:rPr>
          <w:rFonts w:cstheme="minorHAnsi"/>
        </w:rPr>
        <w:t>un crecimiento del 8.4% interan</w:t>
      </w:r>
      <w:r w:rsidR="005B50FB" w:rsidRPr="007548A3">
        <w:rPr>
          <w:rFonts w:cstheme="minorHAnsi"/>
        </w:rPr>
        <w:t>u</w:t>
      </w:r>
      <w:r w:rsidR="003B4A85" w:rsidRPr="007548A3">
        <w:rPr>
          <w:rFonts w:cstheme="minorHAnsi"/>
        </w:rPr>
        <w:t>a</w:t>
      </w:r>
      <w:r w:rsidR="005B50FB" w:rsidRPr="007548A3">
        <w:rPr>
          <w:rFonts w:cstheme="minorHAnsi"/>
        </w:rPr>
        <w:t>l.</w:t>
      </w:r>
      <w:r w:rsidR="000C047F" w:rsidRPr="007548A3">
        <w:rPr>
          <w:rFonts w:cstheme="minorHAnsi"/>
        </w:rPr>
        <w:t xml:space="preserve"> </w:t>
      </w:r>
    </w:p>
    <w:p w14:paraId="672F1556" w14:textId="3C30C7EF" w:rsidR="00A730AD" w:rsidRPr="00364F2D" w:rsidRDefault="00A730AD" w:rsidP="00364F2D">
      <w:pPr>
        <w:spacing w:after="0" w:line="276" w:lineRule="auto"/>
        <w:jc w:val="both"/>
        <w:rPr>
          <w:rFonts w:cstheme="minorHAnsi"/>
        </w:rPr>
      </w:pPr>
      <w:r w:rsidRPr="00DD05BF">
        <w:rPr>
          <w:noProof/>
          <w:lang w:val="es-SV" w:eastAsia="es-SV"/>
        </w:rPr>
        <w:lastRenderedPageBreak/>
        <w:drawing>
          <wp:anchor distT="0" distB="0" distL="114300" distR="114300" simplePos="0" relativeHeight="251721728" behindDoc="0" locked="0" layoutInCell="1" allowOverlap="1" wp14:anchorId="5EB1D2DC" wp14:editId="0352611B">
            <wp:simplePos x="0" y="0"/>
            <wp:positionH relativeFrom="margin">
              <wp:align>right</wp:align>
            </wp:positionH>
            <wp:positionV relativeFrom="margin">
              <wp:align>top</wp:align>
            </wp:positionV>
            <wp:extent cx="5595620" cy="3856355"/>
            <wp:effectExtent l="0" t="0" r="508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95620" cy="3856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52656D" w14:textId="0726F551" w:rsidR="00C102CF" w:rsidRPr="007548A3" w:rsidRDefault="00A730AD" w:rsidP="00364F2D">
      <w:pPr>
        <w:spacing w:after="0" w:line="276" w:lineRule="auto"/>
        <w:jc w:val="both"/>
        <w:rPr>
          <w:rFonts w:cstheme="minorHAnsi"/>
        </w:rPr>
      </w:pPr>
      <w:r>
        <w:rPr>
          <w:rFonts w:cstheme="minorHAnsi"/>
          <w:noProof/>
          <w:lang w:val="es-SV" w:eastAsia="es-SV"/>
        </w:rPr>
        <w:drawing>
          <wp:anchor distT="0" distB="0" distL="114300" distR="114300" simplePos="0" relativeHeight="251723776" behindDoc="0" locked="0" layoutInCell="1" allowOverlap="1" wp14:anchorId="1C39E2F0" wp14:editId="50171794">
            <wp:simplePos x="0" y="0"/>
            <wp:positionH relativeFrom="margin">
              <wp:posOffset>0</wp:posOffset>
            </wp:positionH>
            <wp:positionV relativeFrom="margin">
              <wp:posOffset>5644102</wp:posOffset>
            </wp:positionV>
            <wp:extent cx="5386070" cy="2788285"/>
            <wp:effectExtent l="0" t="0" r="0"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86070" cy="2788285"/>
                    </a:xfrm>
                    <a:prstGeom prst="rect">
                      <a:avLst/>
                    </a:prstGeom>
                    <a:noFill/>
                  </pic:spPr>
                </pic:pic>
              </a:graphicData>
            </a:graphic>
            <wp14:sizeRelH relativeFrom="margin">
              <wp14:pctWidth>0</wp14:pctWidth>
            </wp14:sizeRelH>
            <wp14:sizeRelV relativeFrom="margin">
              <wp14:pctHeight>0</wp14:pctHeight>
            </wp14:sizeRelV>
          </wp:anchor>
        </w:drawing>
      </w:r>
      <w:r w:rsidR="00004B51" w:rsidRPr="007548A3">
        <w:rPr>
          <w:rFonts w:cstheme="minorHAnsi"/>
        </w:rPr>
        <w:t xml:space="preserve">De acuerdo a la </w:t>
      </w:r>
      <w:r w:rsidR="00802F81">
        <w:rPr>
          <w:rFonts w:cstheme="minorHAnsi"/>
        </w:rPr>
        <w:t>f</w:t>
      </w:r>
      <w:r w:rsidR="008E2364">
        <w:rPr>
          <w:rFonts w:cstheme="minorHAnsi"/>
        </w:rPr>
        <w:t xml:space="preserve">igura </w:t>
      </w:r>
      <w:r w:rsidR="00004B51" w:rsidRPr="007548A3">
        <w:rPr>
          <w:rFonts w:cstheme="minorHAnsi"/>
        </w:rPr>
        <w:t xml:space="preserve">No. </w:t>
      </w:r>
      <w:r w:rsidR="008E2364">
        <w:rPr>
          <w:rFonts w:cstheme="minorHAnsi"/>
        </w:rPr>
        <w:t>6</w:t>
      </w:r>
      <w:r w:rsidR="00004B51" w:rsidRPr="007548A3">
        <w:rPr>
          <w:rFonts w:cstheme="minorHAnsi"/>
        </w:rPr>
        <w:t xml:space="preserve">, los </w:t>
      </w:r>
      <w:r w:rsidR="009316D1" w:rsidRPr="007548A3">
        <w:rPr>
          <w:rFonts w:cstheme="minorHAnsi"/>
        </w:rPr>
        <w:t xml:space="preserve">ingresos </w:t>
      </w:r>
      <w:r w:rsidR="00004B51" w:rsidRPr="007548A3">
        <w:rPr>
          <w:rFonts w:cstheme="minorHAnsi"/>
        </w:rPr>
        <w:t xml:space="preserve">operativos </w:t>
      </w:r>
      <w:r w:rsidR="003B4A85" w:rsidRPr="007548A3">
        <w:rPr>
          <w:rFonts w:cstheme="minorHAnsi"/>
        </w:rPr>
        <w:t>obtenidos durante los últimos año</w:t>
      </w:r>
      <w:r w:rsidR="00802F81">
        <w:rPr>
          <w:rFonts w:cstheme="minorHAnsi"/>
        </w:rPr>
        <w:t>s</w:t>
      </w:r>
      <w:r w:rsidR="003B4A85" w:rsidRPr="007548A3">
        <w:rPr>
          <w:rFonts w:cstheme="minorHAnsi"/>
        </w:rPr>
        <w:t xml:space="preserve"> </w:t>
      </w:r>
      <w:r w:rsidR="00004B51" w:rsidRPr="007548A3">
        <w:rPr>
          <w:rFonts w:cstheme="minorHAnsi"/>
        </w:rPr>
        <w:t>no</w:t>
      </w:r>
      <w:r w:rsidR="009316D1" w:rsidRPr="007548A3">
        <w:rPr>
          <w:rFonts w:cstheme="minorHAnsi"/>
        </w:rPr>
        <w:t xml:space="preserve"> están cubriendo </w:t>
      </w:r>
      <w:r w:rsidR="00004B51" w:rsidRPr="007548A3">
        <w:rPr>
          <w:rFonts w:cstheme="minorHAnsi"/>
        </w:rPr>
        <w:t>el servicio de la deuda pública, pues estos se comportan de forma negativa y</w:t>
      </w:r>
      <w:r w:rsidR="00802F81">
        <w:rPr>
          <w:rFonts w:cstheme="minorHAnsi"/>
        </w:rPr>
        <w:t>,</w:t>
      </w:r>
      <w:r w:rsidR="00004B51" w:rsidRPr="007548A3">
        <w:rPr>
          <w:rFonts w:cstheme="minorHAnsi"/>
        </w:rPr>
        <w:t xml:space="preserve"> entre más aumenten el saldo de la deuda pública</w:t>
      </w:r>
      <w:r w:rsidR="00802F81">
        <w:rPr>
          <w:rFonts w:cstheme="minorHAnsi"/>
        </w:rPr>
        <w:t>,</w:t>
      </w:r>
      <w:r w:rsidR="00004B51" w:rsidRPr="007548A3">
        <w:rPr>
          <w:rFonts w:cstheme="minorHAnsi"/>
        </w:rPr>
        <w:t xml:space="preserve"> este impactará el saldo ordinario. Un análisis de perfil de la deuda pública al mes de agosto</w:t>
      </w:r>
      <w:r w:rsidR="003B4A85" w:rsidRPr="007548A3">
        <w:rPr>
          <w:rFonts w:cstheme="minorHAnsi"/>
        </w:rPr>
        <w:t xml:space="preserve"> del corriente año</w:t>
      </w:r>
      <w:r w:rsidR="00004B51" w:rsidRPr="007548A3">
        <w:rPr>
          <w:rFonts w:cstheme="minorHAnsi"/>
        </w:rPr>
        <w:t xml:space="preserve"> muestra que la deuda se está convirtiendo insostenible, debido a que el saldo de la deuda previsional se está incrementando y si se aplica la reforma de las finanzas municipales el saldo sería mayor y el servicio</w:t>
      </w:r>
      <w:r w:rsidR="003B4A85" w:rsidRPr="007548A3">
        <w:rPr>
          <w:rFonts w:cstheme="minorHAnsi"/>
        </w:rPr>
        <w:t xml:space="preserve"> de la deuda pública</w:t>
      </w:r>
      <w:r w:rsidR="00004B51" w:rsidRPr="007548A3">
        <w:rPr>
          <w:rFonts w:cstheme="minorHAnsi"/>
        </w:rPr>
        <w:t xml:space="preserve"> afectará la caja</w:t>
      </w:r>
      <w:r w:rsidR="00D2205A">
        <w:rPr>
          <w:rFonts w:cstheme="minorHAnsi"/>
        </w:rPr>
        <w:t xml:space="preserve"> y necesita mayores recursos</w:t>
      </w:r>
      <w:r w:rsidR="00004B51" w:rsidRPr="007548A3">
        <w:rPr>
          <w:rFonts w:cstheme="minorHAnsi"/>
        </w:rPr>
        <w:t>.</w:t>
      </w:r>
    </w:p>
    <w:p w14:paraId="3809D0A1" w14:textId="70AEA6CB" w:rsidR="00A730AD" w:rsidRDefault="00A730AD" w:rsidP="00143E00">
      <w:pPr>
        <w:spacing w:after="0" w:line="276" w:lineRule="auto"/>
        <w:jc w:val="both"/>
        <w:rPr>
          <w:rFonts w:cstheme="minorHAnsi"/>
        </w:rPr>
      </w:pPr>
    </w:p>
    <w:p w14:paraId="6B9575A5" w14:textId="3672F511" w:rsidR="00C102CF" w:rsidRPr="007548A3" w:rsidRDefault="00364F2D" w:rsidP="00143E00">
      <w:pPr>
        <w:spacing w:after="0" w:line="276" w:lineRule="auto"/>
        <w:jc w:val="both"/>
        <w:rPr>
          <w:rFonts w:cstheme="minorHAnsi"/>
        </w:rPr>
      </w:pPr>
      <w:r w:rsidRPr="00A730AD">
        <w:rPr>
          <w:noProof/>
          <w:lang w:val="es-SV" w:eastAsia="es-SV"/>
        </w:rPr>
        <w:lastRenderedPageBreak/>
        <w:drawing>
          <wp:anchor distT="0" distB="0" distL="114300" distR="114300" simplePos="0" relativeHeight="251724800" behindDoc="0" locked="0" layoutInCell="1" allowOverlap="1" wp14:anchorId="3C2253FA" wp14:editId="5E89EE8D">
            <wp:simplePos x="0" y="0"/>
            <wp:positionH relativeFrom="margin">
              <wp:posOffset>-18545</wp:posOffset>
            </wp:positionH>
            <wp:positionV relativeFrom="margin">
              <wp:posOffset>-174801</wp:posOffset>
            </wp:positionV>
            <wp:extent cx="5611495" cy="1818640"/>
            <wp:effectExtent l="0" t="0" r="1905"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1495" cy="1818640"/>
                    </a:xfrm>
                    <a:prstGeom prst="rect">
                      <a:avLst/>
                    </a:prstGeom>
                    <a:noFill/>
                    <a:ln>
                      <a:noFill/>
                    </a:ln>
                  </pic:spPr>
                </pic:pic>
              </a:graphicData>
            </a:graphic>
            <wp14:sizeRelV relativeFrom="margin">
              <wp14:pctHeight>0</wp14:pctHeight>
            </wp14:sizeRelV>
          </wp:anchor>
        </w:drawing>
      </w:r>
    </w:p>
    <w:p w14:paraId="5FCF2DE1" w14:textId="4FCD7066" w:rsidR="00B85EFF" w:rsidRPr="007548A3" w:rsidRDefault="00B85EFF" w:rsidP="003B4A85">
      <w:pPr>
        <w:pStyle w:val="Prrafodelista"/>
        <w:numPr>
          <w:ilvl w:val="0"/>
          <w:numId w:val="1"/>
        </w:numPr>
        <w:spacing w:after="0" w:line="276" w:lineRule="auto"/>
        <w:ind w:left="284" w:hanging="284"/>
        <w:jc w:val="both"/>
        <w:rPr>
          <w:rFonts w:cstheme="minorHAnsi"/>
        </w:rPr>
      </w:pPr>
      <w:r w:rsidRPr="007548A3">
        <w:rPr>
          <w:rFonts w:cstheme="minorHAnsi"/>
        </w:rPr>
        <w:t>De</w:t>
      </w:r>
      <w:r w:rsidR="003B4A85" w:rsidRPr="007548A3">
        <w:rPr>
          <w:rFonts w:cstheme="minorHAnsi"/>
        </w:rPr>
        <w:t xml:space="preserve"> acuerdo</w:t>
      </w:r>
      <w:r w:rsidRPr="007548A3">
        <w:rPr>
          <w:rFonts w:cstheme="minorHAnsi"/>
        </w:rPr>
        <w:t xml:space="preserve"> a lo observado, el presupuesto estimado para el año 2022 muestra una política fiscal expansiva, debido al</w:t>
      </w:r>
      <w:r w:rsidR="00D2205A">
        <w:rPr>
          <w:rFonts w:cstheme="minorHAnsi"/>
        </w:rPr>
        <w:t xml:space="preserve"> comportamiento </w:t>
      </w:r>
      <w:r w:rsidRPr="007548A3">
        <w:rPr>
          <w:rFonts w:cstheme="minorHAnsi"/>
        </w:rPr>
        <w:t>del gasto corriente,</w:t>
      </w:r>
      <w:r w:rsidR="00D2205A">
        <w:rPr>
          <w:rFonts w:cstheme="minorHAnsi"/>
        </w:rPr>
        <w:t xml:space="preserve"> lo cual </w:t>
      </w:r>
      <w:r w:rsidRPr="007548A3">
        <w:rPr>
          <w:rFonts w:cstheme="minorHAnsi"/>
        </w:rPr>
        <w:t>presiona el</w:t>
      </w:r>
      <w:r w:rsidR="00D2205A">
        <w:rPr>
          <w:rFonts w:cstheme="minorHAnsi"/>
        </w:rPr>
        <w:t xml:space="preserve"> aumento del</w:t>
      </w:r>
      <w:r w:rsidRPr="007548A3">
        <w:rPr>
          <w:rFonts w:cstheme="minorHAnsi"/>
        </w:rPr>
        <w:t xml:space="preserve"> financiamiento y como resultado el crecimiento del servicio de la deuda</w:t>
      </w:r>
      <w:r w:rsidR="00237617">
        <w:rPr>
          <w:rFonts w:cstheme="minorHAnsi"/>
        </w:rPr>
        <w:t>;</w:t>
      </w:r>
      <w:r w:rsidRPr="007548A3">
        <w:rPr>
          <w:rFonts w:cstheme="minorHAnsi"/>
        </w:rPr>
        <w:t xml:space="preserve"> </w:t>
      </w:r>
      <w:r w:rsidR="00237617">
        <w:rPr>
          <w:rFonts w:cstheme="minorHAnsi"/>
        </w:rPr>
        <w:t>lo anterior</w:t>
      </w:r>
      <w:r w:rsidRPr="007548A3">
        <w:rPr>
          <w:rFonts w:cstheme="minorHAnsi"/>
        </w:rPr>
        <w:t xml:space="preserve"> resta la disponibilidad financiera </w:t>
      </w:r>
      <w:r w:rsidR="00D2205A">
        <w:rPr>
          <w:rFonts w:cstheme="minorHAnsi"/>
        </w:rPr>
        <w:t>para</w:t>
      </w:r>
      <w:r w:rsidRPr="007548A3">
        <w:rPr>
          <w:rFonts w:cstheme="minorHAnsi"/>
        </w:rPr>
        <w:t xml:space="preserve"> el futuro, por lo que se debe de incentivar las variables reales de la economía</w:t>
      </w:r>
      <w:r w:rsidR="00D2205A">
        <w:rPr>
          <w:rFonts w:cstheme="minorHAnsi"/>
        </w:rPr>
        <w:t xml:space="preserve"> que permitan incentivar el mercado de bienes y servicios, el financiero y los de factores de la producción</w:t>
      </w:r>
      <w:r w:rsidR="00237617">
        <w:rPr>
          <w:rFonts w:cstheme="minorHAnsi"/>
        </w:rPr>
        <w:t>,</w:t>
      </w:r>
      <w:r w:rsidR="00D2205A">
        <w:rPr>
          <w:rFonts w:cstheme="minorHAnsi"/>
        </w:rPr>
        <w:t xml:space="preserve"> acompañado de las siguientes propuestas</w:t>
      </w:r>
      <w:r w:rsidRPr="007548A3">
        <w:rPr>
          <w:rFonts w:cstheme="minorHAnsi"/>
        </w:rPr>
        <w:t>:</w:t>
      </w:r>
    </w:p>
    <w:p w14:paraId="2A200328" w14:textId="77777777" w:rsidR="0091086B" w:rsidRPr="007548A3" w:rsidRDefault="0091086B" w:rsidP="0091086B">
      <w:pPr>
        <w:pStyle w:val="Prrafodelista"/>
        <w:spacing w:after="0" w:line="276" w:lineRule="auto"/>
        <w:ind w:left="644"/>
        <w:jc w:val="both"/>
        <w:rPr>
          <w:rFonts w:cstheme="minorHAnsi"/>
        </w:rPr>
      </w:pPr>
    </w:p>
    <w:p w14:paraId="2925D705" w14:textId="295F7855" w:rsidR="0091086B" w:rsidRPr="007548A3" w:rsidRDefault="00D2205A" w:rsidP="00B85EFF">
      <w:pPr>
        <w:pStyle w:val="Prrafodelista"/>
        <w:numPr>
          <w:ilvl w:val="0"/>
          <w:numId w:val="2"/>
        </w:numPr>
        <w:spacing w:after="0" w:line="276" w:lineRule="auto"/>
        <w:jc w:val="both"/>
        <w:rPr>
          <w:rFonts w:cstheme="minorHAnsi"/>
        </w:rPr>
      </w:pPr>
      <w:r w:rsidRPr="00237617">
        <w:rPr>
          <w:rFonts w:cstheme="minorHAnsi"/>
        </w:rPr>
        <w:t>Incentivar</w:t>
      </w:r>
      <w:r>
        <w:rPr>
          <w:rFonts w:cstheme="minorHAnsi"/>
        </w:rPr>
        <w:t xml:space="preserve"> la </w:t>
      </w:r>
      <w:r w:rsidR="00B85EFF" w:rsidRPr="007548A3">
        <w:rPr>
          <w:rFonts w:cstheme="minorHAnsi"/>
        </w:rPr>
        <w:t>Inversión Pública, especialmente aquella que posea valor agregado</w:t>
      </w:r>
      <w:r w:rsidR="00427123">
        <w:rPr>
          <w:rFonts w:cstheme="minorHAnsi"/>
        </w:rPr>
        <w:t xml:space="preserve"> como los proyectos viales, presas y aeropuerto, </w:t>
      </w:r>
      <w:r w:rsidR="00B85EFF" w:rsidRPr="007548A3">
        <w:rPr>
          <w:rFonts w:cstheme="minorHAnsi"/>
        </w:rPr>
        <w:t xml:space="preserve">que permita </w:t>
      </w:r>
      <w:r w:rsidR="00237617">
        <w:rPr>
          <w:rFonts w:cstheme="minorHAnsi"/>
        </w:rPr>
        <w:t>estimular</w:t>
      </w:r>
      <w:r w:rsidR="0091086B" w:rsidRPr="007548A3">
        <w:rPr>
          <w:rFonts w:cstheme="minorHAnsi"/>
        </w:rPr>
        <w:t xml:space="preserve"> la demanda de bienes y servicios y con ello impactar el mercado laboral,</w:t>
      </w:r>
      <w:r w:rsidR="00427123">
        <w:rPr>
          <w:rFonts w:cstheme="minorHAnsi"/>
        </w:rPr>
        <w:t xml:space="preserve"> lo cual se reflejaría una mayor r</w:t>
      </w:r>
      <w:r w:rsidR="0091086B" w:rsidRPr="007548A3">
        <w:rPr>
          <w:rFonts w:cstheme="minorHAnsi"/>
        </w:rPr>
        <w:t>ecaudación fiscal.</w:t>
      </w:r>
    </w:p>
    <w:p w14:paraId="2BB6AB37" w14:textId="77777777" w:rsidR="00B85EFF" w:rsidRPr="007548A3" w:rsidRDefault="00B85EFF" w:rsidP="00B85EFF">
      <w:pPr>
        <w:pStyle w:val="Prrafodelista"/>
        <w:spacing w:after="0" w:line="276" w:lineRule="auto"/>
        <w:ind w:left="644"/>
        <w:jc w:val="both"/>
        <w:rPr>
          <w:rFonts w:cstheme="minorHAnsi"/>
        </w:rPr>
      </w:pPr>
      <w:r w:rsidRPr="007548A3">
        <w:rPr>
          <w:rFonts w:cstheme="minorHAnsi"/>
        </w:rPr>
        <w:t xml:space="preserve"> </w:t>
      </w:r>
    </w:p>
    <w:p w14:paraId="19D33300" w14:textId="4868F64B" w:rsidR="00D2205A" w:rsidRPr="00237617" w:rsidRDefault="00237617" w:rsidP="00237617">
      <w:pPr>
        <w:pStyle w:val="Prrafodelista"/>
        <w:numPr>
          <w:ilvl w:val="0"/>
          <w:numId w:val="2"/>
        </w:numPr>
        <w:spacing w:after="0" w:line="276" w:lineRule="auto"/>
        <w:jc w:val="both"/>
        <w:rPr>
          <w:rFonts w:cstheme="minorHAnsi"/>
        </w:rPr>
      </w:pPr>
      <w:r>
        <w:rPr>
          <w:rFonts w:cstheme="minorHAnsi"/>
        </w:rPr>
        <w:t>Dinamizar</w:t>
      </w:r>
      <w:r w:rsidR="0091086B" w:rsidRPr="007548A3">
        <w:rPr>
          <w:rFonts w:cstheme="minorHAnsi"/>
        </w:rPr>
        <w:t xml:space="preserve"> el desarrollo local, por medio de la inversión </w:t>
      </w:r>
      <w:r w:rsidR="00D2205A">
        <w:rPr>
          <w:rFonts w:cstheme="minorHAnsi"/>
        </w:rPr>
        <w:t>dirigida</w:t>
      </w:r>
      <w:r w:rsidR="00427123">
        <w:rPr>
          <w:rFonts w:cstheme="minorHAnsi"/>
        </w:rPr>
        <w:t xml:space="preserve"> y garantizando que este se ejecute, lo cual estimularía </w:t>
      </w:r>
      <w:r w:rsidR="0091086B" w:rsidRPr="007548A3">
        <w:rPr>
          <w:rFonts w:cstheme="minorHAnsi"/>
        </w:rPr>
        <w:t>las actividades económicas de los municipios y con ello</w:t>
      </w:r>
      <w:r>
        <w:rPr>
          <w:rFonts w:cstheme="minorHAnsi"/>
        </w:rPr>
        <w:t xml:space="preserve"> se </w:t>
      </w:r>
      <w:r w:rsidR="0091086B" w:rsidRPr="007548A3">
        <w:rPr>
          <w:rFonts w:cstheme="minorHAnsi"/>
        </w:rPr>
        <w:t xml:space="preserve"> </w:t>
      </w:r>
      <w:r w:rsidR="0091086B" w:rsidRPr="00237617">
        <w:rPr>
          <w:rFonts w:cstheme="minorHAnsi"/>
        </w:rPr>
        <w:t>incentivar</w:t>
      </w:r>
      <w:r w:rsidRPr="00237617">
        <w:rPr>
          <w:rFonts w:cstheme="minorHAnsi"/>
        </w:rPr>
        <w:t>ía</w:t>
      </w:r>
      <w:r w:rsidR="0091086B" w:rsidRPr="00237617">
        <w:rPr>
          <w:rFonts w:cstheme="minorHAnsi"/>
        </w:rPr>
        <w:t xml:space="preserve"> las economías territoriales</w:t>
      </w:r>
      <w:r w:rsidR="00890D94" w:rsidRPr="00237617">
        <w:rPr>
          <w:rFonts w:cstheme="minorHAnsi"/>
        </w:rPr>
        <w:t>,</w:t>
      </w:r>
      <w:r w:rsidR="00D2205A" w:rsidRPr="00237617">
        <w:rPr>
          <w:rFonts w:cstheme="minorHAnsi"/>
        </w:rPr>
        <w:t xml:space="preserve"> aprovechando las oportunidades de financiamiento existentes</w:t>
      </w:r>
      <w:r w:rsidR="00427123" w:rsidRPr="00237617">
        <w:rPr>
          <w:rFonts w:cstheme="minorHAnsi"/>
        </w:rPr>
        <w:t xml:space="preserve"> y los mecanismos FODES que se pretenden aplicar para d</w:t>
      </w:r>
      <w:r w:rsidR="00D2205A" w:rsidRPr="00237617">
        <w:rPr>
          <w:rFonts w:cstheme="minorHAnsi"/>
        </w:rPr>
        <w:t>icho sector.</w:t>
      </w:r>
    </w:p>
    <w:p w14:paraId="56584E8E" w14:textId="77777777" w:rsidR="00D2205A" w:rsidRPr="00D2205A" w:rsidRDefault="00D2205A" w:rsidP="00D2205A">
      <w:pPr>
        <w:pStyle w:val="Prrafodelista"/>
        <w:rPr>
          <w:rFonts w:cstheme="minorHAnsi"/>
        </w:rPr>
      </w:pPr>
    </w:p>
    <w:p w14:paraId="14CA8956" w14:textId="45D68930" w:rsidR="0091086B" w:rsidRPr="003C2D23" w:rsidRDefault="00DE5BB5" w:rsidP="004838DF">
      <w:pPr>
        <w:pStyle w:val="Prrafodelista"/>
        <w:numPr>
          <w:ilvl w:val="0"/>
          <w:numId w:val="2"/>
        </w:numPr>
        <w:spacing w:after="0" w:line="276" w:lineRule="auto"/>
        <w:jc w:val="both"/>
        <w:rPr>
          <w:rFonts w:cstheme="minorHAnsi"/>
        </w:rPr>
      </w:pPr>
      <w:r>
        <w:rPr>
          <w:rFonts w:cstheme="minorHAnsi"/>
        </w:rPr>
        <w:t xml:space="preserve">Apostarte a </w:t>
      </w:r>
      <w:r w:rsidR="00427123" w:rsidRPr="003C2D23">
        <w:rPr>
          <w:rFonts w:cstheme="minorHAnsi"/>
        </w:rPr>
        <w:t xml:space="preserve">que las </w:t>
      </w:r>
      <w:r w:rsidR="0091086B" w:rsidRPr="003C2D23">
        <w:rPr>
          <w:rFonts w:cstheme="minorHAnsi"/>
        </w:rPr>
        <w:t xml:space="preserve">MYPE </w:t>
      </w:r>
      <w:r w:rsidR="00427123" w:rsidRPr="003C2D23">
        <w:rPr>
          <w:rFonts w:cstheme="minorHAnsi"/>
        </w:rPr>
        <w:t>se conviertan en verdaderos proveedores de la Administración Pública</w:t>
      </w:r>
      <w:r w:rsidR="00237617">
        <w:rPr>
          <w:rFonts w:cstheme="minorHAnsi"/>
        </w:rPr>
        <w:t>,</w:t>
      </w:r>
      <w:r w:rsidR="00427123" w:rsidRPr="003C2D23">
        <w:rPr>
          <w:rFonts w:cstheme="minorHAnsi"/>
        </w:rPr>
        <w:t xml:space="preserve"> por medio </w:t>
      </w:r>
      <w:r w:rsidR="0091086B" w:rsidRPr="003C2D23">
        <w:rPr>
          <w:rFonts w:cstheme="minorHAnsi"/>
        </w:rPr>
        <w:t xml:space="preserve">del </w:t>
      </w:r>
      <w:r w:rsidR="00427123" w:rsidRPr="003C2D23">
        <w:rPr>
          <w:rFonts w:cstheme="minorHAnsi"/>
        </w:rPr>
        <w:t>P</w:t>
      </w:r>
      <w:r w:rsidR="0091086B" w:rsidRPr="003C2D23">
        <w:rPr>
          <w:rFonts w:cstheme="minorHAnsi"/>
        </w:rPr>
        <w:t xml:space="preserve">rograma de </w:t>
      </w:r>
      <w:r w:rsidR="00427123" w:rsidRPr="003C2D23">
        <w:rPr>
          <w:rFonts w:cstheme="minorHAnsi"/>
        </w:rPr>
        <w:t>C</w:t>
      </w:r>
      <w:r w:rsidR="0091086B" w:rsidRPr="003C2D23">
        <w:rPr>
          <w:rFonts w:cstheme="minorHAnsi"/>
        </w:rPr>
        <w:t xml:space="preserve">ompras </w:t>
      </w:r>
      <w:r w:rsidR="00427123" w:rsidRPr="003C2D23">
        <w:rPr>
          <w:rFonts w:cstheme="minorHAnsi"/>
        </w:rPr>
        <w:t>P</w:t>
      </w:r>
      <w:r w:rsidR="0091086B" w:rsidRPr="003C2D23">
        <w:rPr>
          <w:rFonts w:cstheme="minorHAnsi"/>
        </w:rPr>
        <w:t>úblicas</w:t>
      </w:r>
      <w:r w:rsidR="00237617">
        <w:rPr>
          <w:rFonts w:cstheme="minorHAnsi"/>
        </w:rPr>
        <w:t>,</w:t>
      </w:r>
      <w:r w:rsidR="003C2D23" w:rsidRPr="003C2D23">
        <w:rPr>
          <w:rFonts w:cstheme="minorHAnsi"/>
        </w:rPr>
        <w:t xml:space="preserve"> aplicando </w:t>
      </w:r>
      <w:r w:rsidR="0091086B" w:rsidRPr="003C2D23">
        <w:rPr>
          <w:rFonts w:cstheme="minorHAnsi"/>
        </w:rPr>
        <w:t xml:space="preserve">el Art. 39-C de la ley </w:t>
      </w:r>
      <w:r w:rsidR="003C2D23" w:rsidRPr="003C2D23">
        <w:rPr>
          <w:rFonts w:cstheme="minorHAnsi"/>
        </w:rPr>
        <w:t>de Compras y Adquisiciones Públicas (</w:t>
      </w:r>
      <w:r w:rsidR="0091086B" w:rsidRPr="003C2D23">
        <w:rPr>
          <w:rFonts w:cstheme="minorHAnsi"/>
        </w:rPr>
        <w:t>LACAP</w:t>
      </w:r>
      <w:r w:rsidR="003C2D23" w:rsidRPr="003C2D23">
        <w:rPr>
          <w:rFonts w:cstheme="minorHAnsi"/>
        </w:rPr>
        <w:t>)</w:t>
      </w:r>
      <w:r w:rsidR="00237617">
        <w:rPr>
          <w:rFonts w:cstheme="minorHAnsi"/>
        </w:rPr>
        <w:t xml:space="preserve"> y</w:t>
      </w:r>
      <w:r w:rsidR="0091086B" w:rsidRPr="003C2D23">
        <w:rPr>
          <w:rFonts w:cstheme="minorHAnsi"/>
        </w:rPr>
        <w:t xml:space="preserve"> cumplimiento la </w:t>
      </w:r>
      <w:r w:rsidR="003C2D23" w:rsidRPr="003C2D23">
        <w:rPr>
          <w:rFonts w:cstheme="minorHAnsi"/>
        </w:rPr>
        <w:t>Ley de Fomento, Protección y Desarrollo para la Micro y Pequeña Empresa</w:t>
      </w:r>
      <w:r w:rsidR="0091086B" w:rsidRPr="003C2D23">
        <w:rPr>
          <w:rFonts w:cstheme="minorHAnsi"/>
        </w:rPr>
        <w:t xml:space="preserve"> </w:t>
      </w:r>
      <w:r w:rsidR="003C2D23">
        <w:rPr>
          <w:rFonts w:cstheme="minorHAnsi"/>
        </w:rPr>
        <w:t>(MYPE)</w:t>
      </w:r>
      <w:r w:rsidR="00237617">
        <w:rPr>
          <w:rFonts w:cstheme="minorHAnsi"/>
        </w:rPr>
        <w:t>;</w:t>
      </w:r>
      <w:r w:rsidR="0091086B" w:rsidRPr="003C2D23">
        <w:rPr>
          <w:rFonts w:cstheme="minorHAnsi"/>
        </w:rPr>
        <w:t xml:space="preserve"> </w:t>
      </w:r>
      <w:r w:rsidR="003C2D23">
        <w:rPr>
          <w:rFonts w:cstheme="minorHAnsi"/>
        </w:rPr>
        <w:t xml:space="preserve"> </w:t>
      </w:r>
      <w:r w:rsidR="0091086B" w:rsidRPr="003C2D23">
        <w:rPr>
          <w:rFonts w:cstheme="minorHAnsi"/>
        </w:rPr>
        <w:t>con ello se lograría aumentar</w:t>
      </w:r>
      <w:r w:rsidR="003C2D23">
        <w:rPr>
          <w:rFonts w:cstheme="minorHAnsi"/>
        </w:rPr>
        <w:t xml:space="preserve"> los ingresos de éstas y disminuir el </w:t>
      </w:r>
      <w:r w:rsidR="0091086B" w:rsidRPr="003C2D23">
        <w:rPr>
          <w:rFonts w:cstheme="minorHAnsi"/>
        </w:rPr>
        <w:t>impacto</w:t>
      </w:r>
      <w:r w:rsidR="003C2D23">
        <w:rPr>
          <w:rFonts w:cstheme="minorHAnsi"/>
        </w:rPr>
        <w:t xml:space="preserve"> negativo</w:t>
      </w:r>
      <w:r w:rsidR="0091086B" w:rsidRPr="003C2D23">
        <w:rPr>
          <w:rFonts w:cstheme="minorHAnsi"/>
        </w:rPr>
        <w:t xml:space="preserve"> que se tiene de la </w:t>
      </w:r>
      <w:r w:rsidR="00237617">
        <w:rPr>
          <w:rFonts w:cstheme="minorHAnsi"/>
        </w:rPr>
        <w:t>p</w:t>
      </w:r>
      <w:r w:rsidR="0091086B" w:rsidRPr="003C2D23">
        <w:rPr>
          <w:rFonts w:cstheme="minorHAnsi"/>
        </w:rPr>
        <w:t>andemia</w:t>
      </w:r>
      <w:r w:rsidR="00237617">
        <w:rPr>
          <w:rFonts w:cstheme="minorHAnsi"/>
        </w:rPr>
        <w:t xml:space="preserve"> por</w:t>
      </w:r>
      <w:r w:rsidR="0091086B" w:rsidRPr="003C2D23">
        <w:rPr>
          <w:rFonts w:cstheme="minorHAnsi"/>
        </w:rPr>
        <w:t xml:space="preserve"> COVID-19</w:t>
      </w:r>
      <w:r w:rsidR="003C2D23">
        <w:rPr>
          <w:rFonts w:cstheme="minorHAnsi"/>
        </w:rPr>
        <w:t xml:space="preserve">, con la </w:t>
      </w:r>
      <w:r w:rsidR="00D2205A" w:rsidRPr="003C2D23">
        <w:rPr>
          <w:rFonts w:cstheme="minorHAnsi"/>
        </w:rPr>
        <w:t xml:space="preserve">ventaja que se </w:t>
      </w:r>
      <w:r w:rsidR="003C2D23">
        <w:rPr>
          <w:rFonts w:cstheme="minorHAnsi"/>
        </w:rPr>
        <w:t>podría</w:t>
      </w:r>
      <w:r w:rsidR="001041DA">
        <w:rPr>
          <w:rFonts w:cstheme="minorHAnsi"/>
        </w:rPr>
        <w:t>n</w:t>
      </w:r>
      <w:r w:rsidR="003C2D23">
        <w:rPr>
          <w:rFonts w:cstheme="minorHAnsi"/>
        </w:rPr>
        <w:t xml:space="preserve"> </w:t>
      </w:r>
      <w:r w:rsidR="00D2205A" w:rsidRPr="003C2D23">
        <w:rPr>
          <w:rFonts w:cstheme="minorHAnsi"/>
        </w:rPr>
        <w:t>incentivar las transacciones en los municipios, según la leyes antes enunciadas</w:t>
      </w:r>
      <w:r w:rsidR="0091086B" w:rsidRPr="003C2D23">
        <w:rPr>
          <w:rFonts w:cstheme="minorHAnsi"/>
        </w:rPr>
        <w:t>.</w:t>
      </w:r>
    </w:p>
    <w:p w14:paraId="3903635D" w14:textId="77777777" w:rsidR="0091086B" w:rsidRPr="007548A3" w:rsidRDefault="0091086B" w:rsidP="0091086B">
      <w:pPr>
        <w:pStyle w:val="Prrafodelista"/>
        <w:rPr>
          <w:rFonts w:cstheme="minorHAnsi"/>
        </w:rPr>
      </w:pPr>
    </w:p>
    <w:p w14:paraId="5207A653" w14:textId="6715DC07" w:rsidR="0091086B" w:rsidRPr="007548A3" w:rsidRDefault="0091086B" w:rsidP="00F65E36">
      <w:pPr>
        <w:pStyle w:val="Prrafodelista"/>
        <w:numPr>
          <w:ilvl w:val="0"/>
          <w:numId w:val="2"/>
        </w:numPr>
        <w:spacing w:after="0" w:line="276" w:lineRule="auto"/>
        <w:jc w:val="both"/>
        <w:rPr>
          <w:rFonts w:cstheme="minorHAnsi"/>
        </w:rPr>
      </w:pPr>
      <w:r w:rsidRPr="00DE5BB5">
        <w:rPr>
          <w:rFonts w:cstheme="minorHAnsi"/>
        </w:rPr>
        <w:t>Buscar</w:t>
      </w:r>
      <w:r w:rsidRPr="007548A3">
        <w:rPr>
          <w:rFonts w:cstheme="minorHAnsi"/>
        </w:rPr>
        <w:t xml:space="preserve"> las cadenas de valor en la prestación del servicio público, con ello se podría disminuir el gasto y optimizar los recursos públicos</w:t>
      </w:r>
      <w:r w:rsidR="00D2205A">
        <w:rPr>
          <w:rFonts w:cstheme="minorHAnsi"/>
        </w:rPr>
        <w:t>, por medio de la redistribución de funciones de algunas instituciones,</w:t>
      </w:r>
      <w:r w:rsidR="001041DA">
        <w:rPr>
          <w:rFonts w:cstheme="minorHAnsi"/>
        </w:rPr>
        <w:t xml:space="preserve"> y </w:t>
      </w:r>
      <w:r w:rsidR="00DE5BB5">
        <w:rPr>
          <w:rFonts w:cstheme="minorHAnsi"/>
        </w:rPr>
        <w:t>así</w:t>
      </w:r>
      <w:r w:rsidR="001041DA">
        <w:rPr>
          <w:rFonts w:cstheme="minorHAnsi"/>
        </w:rPr>
        <w:t xml:space="preserve"> optimizar los recursos públicos</w:t>
      </w:r>
      <w:r w:rsidRPr="007548A3">
        <w:rPr>
          <w:rFonts w:cstheme="minorHAnsi"/>
        </w:rPr>
        <w:t>.</w:t>
      </w:r>
    </w:p>
    <w:p w14:paraId="0A849932" w14:textId="77777777" w:rsidR="0037330E" w:rsidRDefault="0037330E" w:rsidP="0037330E">
      <w:pPr>
        <w:pStyle w:val="Prrafodelista"/>
        <w:rPr>
          <w:rFonts w:cstheme="minorHAnsi"/>
        </w:rPr>
      </w:pPr>
    </w:p>
    <w:p w14:paraId="1BF5BAE1" w14:textId="77777777" w:rsidR="001041DA" w:rsidRPr="007548A3" w:rsidRDefault="001041DA" w:rsidP="0037330E">
      <w:pPr>
        <w:pStyle w:val="Prrafodelista"/>
        <w:rPr>
          <w:rFonts w:cstheme="minorHAnsi"/>
        </w:rPr>
      </w:pPr>
    </w:p>
    <w:p w14:paraId="3D0F078E" w14:textId="50146ABE" w:rsidR="0037330E" w:rsidRDefault="00F55DC2" w:rsidP="00F65E36">
      <w:pPr>
        <w:pStyle w:val="Prrafodelista"/>
        <w:numPr>
          <w:ilvl w:val="0"/>
          <w:numId w:val="2"/>
        </w:numPr>
        <w:spacing w:after="0" w:line="276" w:lineRule="auto"/>
        <w:jc w:val="both"/>
        <w:rPr>
          <w:rFonts w:cstheme="minorHAnsi"/>
        </w:rPr>
      </w:pPr>
      <w:r w:rsidRPr="007548A3">
        <w:rPr>
          <w:rFonts w:cstheme="minorHAnsi"/>
        </w:rPr>
        <w:t>En el caso de la situación financiera</w:t>
      </w:r>
      <w:r w:rsidR="00D2205A">
        <w:rPr>
          <w:rFonts w:cstheme="minorHAnsi"/>
        </w:rPr>
        <w:t xml:space="preserve"> mostrada en la lámina No. 1</w:t>
      </w:r>
      <w:r w:rsidR="001041DA">
        <w:rPr>
          <w:rFonts w:cstheme="minorHAnsi"/>
        </w:rPr>
        <w:t>1</w:t>
      </w:r>
      <w:r w:rsidR="00D2205A">
        <w:rPr>
          <w:rFonts w:cstheme="minorHAnsi"/>
        </w:rPr>
        <w:t>,</w:t>
      </w:r>
      <w:r w:rsidR="0037330E" w:rsidRPr="007548A3">
        <w:rPr>
          <w:rFonts w:cstheme="minorHAnsi"/>
        </w:rPr>
        <w:t xml:space="preserve"> es importa</w:t>
      </w:r>
      <w:r w:rsidR="009A41C9">
        <w:rPr>
          <w:rFonts w:cstheme="minorHAnsi"/>
        </w:rPr>
        <w:t xml:space="preserve">nte </w:t>
      </w:r>
      <w:r w:rsidR="0037330E" w:rsidRPr="007548A3">
        <w:rPr>
          <w:rFonts w:cstheme="minorHAnsi"/>
        </w:rPr>
        <w:t xml:space="preserve">revisar La ley </w:t>
      </w:r>
      <w:r w:rsidR="00DE5BB5">
        <w:rPr>
          <w:rFonts w:cstheme="minorHAnsi"/>
        </w:rPr>
        <w:t>v</w:t>
      </w:r>
      <w:r w:rsidR="0037330E" w:rsidRPr="007548A3">
        <w:rPr>
          <w:rFonts w:cstheme="minorHAnsi"/>
        </w:rPr>
        <w:t>igente de Presupuesto</w:t>
      </w:r>
      <w:r w:rsidRPr="007548A3">
        <w:rPr>
          <w:rFonts w:cstheme="minorHAnsi"/>
        </w:rPr>
        <w:t xml:space="preserve"> 2021</w:t>
      </w:r>
      <w:r w:rsidR="0037330E" w:rsidRPr="007548A3">
        <w:rPr>
          <w:rFonts w:cstheme="minorHAnsi"/>
        </w:rPr>
        <w:t xml:space="preserve">, </w:t>
      </w:r>
      <w:r w:rsidR="001041DA">
        <w:rPr>
          <w:rFonts w:cstheme="minorHAnsi"/>
        </w:rPr>
        <w:t xml:space="preserve">la que fue </w:t>
      </w:r>
      <w:r w:rsidR="006E0B05">
        <w:rPr>
          <w:rFonts w:cstheme="minorHAnsi"/>
        </w:rPr>
        <w:t>aprobada por la Asamblea Legislativa</w:t>
      </w:r>
      <w:r w:rsidR="001041DA">
        <w:rPr>
          <w:rFonts w:cstheme="minorHAnsi"/>
        </w:rPr>
        <w:t xml:space="preserve"> el 24 de diciembre de 2020,</w:t>
      </w:r>
      <w:r w:rsidR="006E0B05">
        <w:rPr>
          <w:rFonts w:cstheme="minorHAnsi"/>
        </w:rPr>
        <w:t xml:space="preserve"> </w:t>
      </w:r>
      <w:r w:rsidR="0037330E" w:rsidRPr="007548A3">
        <w:rPr>
          <w:rFonts w:cstheme="minorHAnsi"/>
        </w:rPr>
        <w:t>la cual muestra un desequilibrio fiscal, lo que no está acorde a</w:t>
      </w:r>
      <w:r w:rsidRPr="007548A3">
        <w:rPr>
          <w:rFonts w:cstheme="minorHAnsi"/>
        </w:rPr>
        <w:t xml:space="preserve"> </w:t>
      </w:r>
      <w:r w:rsidR="0037330E" w:rsidRPr="007548A3">
        <w:rPr>
          <w:rFonts w:cstheme="minorHAnsi"/>
        </w:rPr>
        <w:t>l</w:t>
      </w:r>
      <w:r w:rsidRPr="007548A3">
        <w:rPr>
          <w:rFonts w:cstheme="minorHAnsi"/>
        </w:rPr>
        <w:t xml:space="preserve">o </w:t>
      </w:r>
      <w:r w:rsidRPr="007548A3">
        <w:rPr>
          <w:rFonts w:cstheme="minorHAnsi"/>
        </w:rPr>
        <w:lastRenderedPageBreak/>
        <w:t>establecido en el</w:t>
      </w:r>
      <w:r w:rsidR="0037330E" w:rsidRPr="007548A3">
        <w:rPr>
          <w:rFonts w:cstheme="minorHAnsi"/>
        </w:rPr>
        <w:t xml:space="preserve"> Art. 226 de la Constitución de la República</w:t>
      </w:r>
      <w:r w:rsidR="00D2205A">
        <w:rPr>
          <w:rFonts w:cstheme="minorHAnsi"/>
        </w:rPr>
        <w:t xml:space="preserve">, esto porque </w:t>
      </w:r>
      <w:r w:rsidR="006E0B05">
        <w:rPr>
          <w:rFonts w:cstheme="minorHAnsi"/>
        </w:rPr>
        <w:t>se aprobó desfinanciadamente.</w:t>
      </w:r>
    </w:p>
    <w:p w14:paraId="5C58FD30" w14:textId="67D2B968" w:rsidR="00416E53" w:rsidRDefault="00416E53" w:rsidP="00416E53">
      <w:pPr>
        <w:spacing w:after="0" w:line="276" w:lineRule="auto"/>
        <w:jc w:val="both"/>
        <w:rPr>
          <w:rFonts w:cstheme="minorHAnsi"/>
        </w:rPr>
      </w:pPr>
    </w:p>
    <w:p w14:paraId="1A1FC9CA" w14:textId="508CF94A" w:rsidR="00416E53" w:rsidRDefault="00416E53" w:rsidP="00416E53">
      <w:pPr>
        <w:spacing w:after="0" w:line="276" w:lineRule="auto"/>
        <w:jc w:val="both"/>
        <w:rPr>
          <w:rFonts w:cstheme="minorHAnsi"/>
        </w:rPr>
      </w:pPr>
    </w:p>
    <w:p w14:paraId="4B445A7B" w14:textId="77777777" w:rsidR="00416E53" w:rsidRPr="00416E53" w:rsidRDefault="00416E53" w:rsidP="00416E53">
      <w:pPr>
        <w:spacing w:after="0" w:line="276" w:lineRule="auto"/>
        <w:jc w:val="both"/>
        <w:rPr>
          <w:rFonts w:cstheme="minorHAnsi"/>
        </w:rPr>
      </w:pPr>
    </w:p>
    <w:sectPr w:rsidR="00416E53" w:rsidRPr="00416E53">
      <w:footerReference w:type="default" r:id="rId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C249A" w14:textId="77777777" w:rsidR="00D13026" w:rsidRDefault="00D13026" w:rsidP="0066198D">
      <w:pPr>
        <w:spacing w:after="0" w:line="240" w:lineRule="auto"/>
      </w:pPr>
      <w:r>
        <w:separator/>
      </w:r>
    </w:p>
  </w:endnote>
  <w:endnote w:type="continuationSeparator" w:id="0">
    <w:p w14:paraId="78D5B46A" w14:textId="77777777" w:rsidR="00D13026" w:rsidRDefault="00D13026" w:rsidP="00661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710833"/>
      <w:docPartObj>
        <w:docPartGallery w:val="Page Numbers (Bottom of Page)"/>
        <w:docPartUnique/>
      </w:docPartObj>
    </w:sdtPr>
    <w:sdtEndPr/>
    <w:sdtContent>
      <w:p w14:paraId="25E351A1" w14:textId="77777777" w:rsidR="0066198D" w:rsidRDefault="0066198D">
        <w:pPr>
          <w:pStyle w:val="Piedepgina"/>
          <w:jc w:val="right"/>
        </w:pPr>
        <w:r>
          <w:fldChar w:fldCharType="begin"/>
        </w:r>
        <w:r>
          <w:instrText>PAGE   \* MERGEFORMAT</w:instrText>
        </w:r>
        <w:r>
          <w:fldChar w:fldCharType="separate"/>
        </w:r>
        <w:r w:rsidR="00203661" w:rsidRPr="00203661">
          <w:rPr>
            <w:noProof/>
            <w:lang w:val="es-ES"/>
          </w:rPr>
          <w:t>13</w:t>
        </w:r>
        <w:r>
          <w:fldChar w:fldCharType="end"/>
        </w:r>
      </w:p>
    </w:sdtContent>
  </w:sdt>
  <w:p w14:paraId="1CBF62C2" w14:textId="218F670A" w:rsidR="0066198D" w:rsidRPr="00972271" w:rsidRDefault="0066198D" w:rsidP="00972271">
    <w:pPr>
      <w:pStyle w:val="Piedepgina"/>
      <w:jc w:val="center"/>
      <w:rPr>
        <w:b/>
        <w:sz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072AB" w14:textId="77777777" w:rsidR="00D13026" w:rsidRDefault="00D13026" w:rsidP="0066198D">
      <w:pPr>
        <w:spacing w:after="0" w:line="240" w:lineRule="auto"/>
      </w:pPr>
      <w:r>
        <w:separator/>
      </w:r>
    </w:p>
  </w:footnote>
  <w:footnote w:type="continuationSeparator" w:id="0">
    <w:p w14:paraId="37A92407" w14:textId="77777777" w:rsidR="00D13026" w:rsidRDefault="00D13026" w:rsidP="006619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63B4C"/>
    <w:multiLevelType w:val="hybridMultilevel"/>
    <w:tmpl w:val="129897B2"/>
    <w:lvl w:ilvl="0" w:tplc="CBDE7746">
      <w:start w:val="1"/>
      <w:numFmt w:val="lowerLetter"/>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 w15:restartNumberingAfterBreak="0">
    <w:nsid w:val="2A1528F3"/>
    <w:multiLevelType w:val="hybridMultilevel"/>
    <w:tmpl w:val="31C826D8"/>
    <w:lvl w:ilvl="0" w:tplc="798EAACE">
      <w:start w:val="1"/>
      <w:numFmt w:val="decimal"/>
      <w:lvlText w:val="%1."/>
      <w:lvlJc w:val="left"/>
      <w:pPr>
        <w:ind w:left="502" w:hanging="360"/>
      </w:pPr>
      <w:rPr>
        <w:rFonts w:hint="default"/>
        <w:color w:val="auto"/>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A89"/>
    <w:rsid w:val="00004B51"/>
    <w:rsid w:val="00021986"/>
    <w:rsid w:val="00046FED"/>
    <w:rsid w:val="00061041"/>
    <w:rsid w:val="0007701D"/>
    <w:rsid w:val="000852FD"/>
    <w:rsid w:val="000C047F"/>
    <w:rsid w:val="000C0B62"/>
    <w:rsid w:val="000D62CE"/>
    <w:rsid w:val="000F06B5"/>
    <w:rsid w:val="00103980"/>
    <w:rsid w:val="001041DA"/>
    <w:rsid w:val="0012136E"/>
    <w:rsid w:val="00143E00"/>
    <w:rsid w:val="0016515F"/>
    <w:rsid w:val="00175CB8"/>
    <w:rsid w:val="001868EA"/>
    <w:rsid w:val="001A0972"/>
    <w:rsid w:val="001A1E17"/>
    <w:rsid w:val="001D5D82"/>
    <w:rsid w:val="00203661"/>
    <w:rsid w:val="00225099"/>
    <w:rsid w:val="00237617"/>
    <w:rsid w:val="002474AE"/>
    <w:rsid w:val="002613DC"/>
    <w:rsid w:val="00270E4D"/>
    <w:rsid w:val="0027315D"/>
    <w:rsid w:val="002738C5"/>
    <w:rsid w:val="002B1840"/>
    <w:rsid w:val="002C569C"/>
    <w:rsid w:val="00306AB0"/>
    <w:rsid w:val="00333F1B"/>
    <w:rsid w:val="00364F2D"/>
    <w:rsid w:val="00365361"/>
    <w:rsid w:val="0037330E"/>
    <w:rsid w:val="00374E3D"/>
    <w:rsid w:val="003B4A85"/>
    <w:rsid w:val="003C2D23"/>
    <w:rsid w:val="003D3EBE"/>
    <w:rsid w:val="003D4807"/>
    <w:rsid w:val="00416E53"/>
    <w:rsid w:val="00420C8A"/>
    <w:rsid w:val="00427123"/>
    <w:rsid w:val="004440AF"/>
    <w:rsid w:val="00452565"/>
    <w:rsid w:val="0045593D"/>
    <w:rsid w:val="00461DF2"/>
    <w:rsid w:val="00463576"/>
    <w:rsid w:val="00482823"/>
    <w:rsid w:val="004A2739"/>
    <w:rsid w:val="004B64E6"/>
    <w:rsid w:val="004E14E6"/>
    <w:rsid w:val="00510771"/>
    <w:rsid w:val="0051564F"/>
    <w:rsid w:val="00582BA5"/>
    <w:rsid w:val="00591D94"/>
    <w:rsid w:val="00594BAD"/>
    <w:rsid w:val="005B50FB"/>
    <w:rsid w:val="005D268E"/>
    <w:rsid w:val="005D36A4"/>
    <w:rsid w:val="005E11E8"/>
    <w:rsid w:val="005E2C9C"/>
    <w:rsid w:val="005E5B09"/>
    <w:rsid w:val="00605880"/>
    <w:rsid w:val="00606C52"/>
    <w:rsid w:val="00607664"/>
    <w:rsid w:val="00624A0A"/>
    <w:rsid w:val="0066198D"/>
    <w:rsid w:val="00672E96"/>
    <w:rsid w:val="006B0B9E"/>
    <w:rsid w:val="006E0B05"/>
    <w:rsid w:val="006F6F36"/>
    <w:rsid w:val="00700BEC"/>
    <w:rsid w:val="00703505"/>
    <w:rsid w:val="00723A89"/>
    <w:rsid w:val="00733F1A"/>
    <w:rsid w:val="00734826"/>
    <w:rsid w:val="007375A0"/>
    <w:rsid w:val="007548A3"/>
    <w:rsid w:val="007641AF"/>
    <w:rsid w:val="007B29F3"/>
    <w:rsid w:val="007B727A"/>
    <w:rsid w:val="007E7611"/>
    <w:rsid w:val="00802F81"/>
    <w:rsid w:val="0080723D"/>
    <w:rsid w:val="008458DF"/>
    <w:rsid w:val="00857CAF"/>
    <w:rsid w:val="00880E67"/>
    <w:rsid w:val="00890D94"/>
    <w:rsid w:val="008A14DF"/>
    <w:rsid w:val="008E2364"/>
    <w:rsid w:val="008E59FE"/>
    <w:rsid w:val="00904497"/>
    <w:rsid w:val="0091086B"/>
    <w:rsid w:val="00915E99"/>
    <w:rsid w:val="00922D6F"/>
    <w:rsid w:val="009316D1"/>
    <w:rsid w:val="009339D9"/>
    <w:rsid w:val="00972271"/>
    <w:rsid w:val="00973F1F"/>
    <w:rsid w:val="00982BFB"/>
    <w:rsid w:val="009843C5"/>
    <w:rsid w:val="00994084"/>
    <w:rsid w:val="0099770E"/>
    <w:rsid w:val="009A2523"/>
    <w:rsid w:val="009A41C9"/>
    <w:rsid w:val="009B03E1"/>
    <w:rsid w:val="00A46A8B"/>
    <w:rsid w:val="00A51E49"/>
    <w:rsid w:val="00A55DD8"/>
    <w:rsid w:val="00A730AD"/>
    <w:rsid w:val="00A87A50"/>
    <w:rsid w:val="00AA1990"/>
    <w:rsid w:val="00AB329F"/>
    <w:rsid w:val="00AE393B"/>
    <w:rsid w:val="00AF51F3"/>
    <w:rsid w:val="00B761AE"/>
    <w:rsid w:val="00B85EFF"/>
    <w:rsid w:val="00B8608A"/>
    <w:rsid w:val="00B942DD"/>
    <w:rsid w:val="00BC153E"/>
    <w:rsid w:val="00BD17AC"/>
    <w:rsid w:val="00BE013E"/>
    <w:rsid w:val="00BF4CED"/>
    <w:rsid w:val="00C102CF"/>
    <w:rsid w:val="00C11216"/>
    <w:rsid w:val="00C50B52"/>
    <w:rsid w:val="00C62596"/>
    <w:rsid w:val="00C64D27"/>
    <w:rsid w:val="00C67FA1"/>
    <w:rsid w:val="00C74FC6"/>
    <w:rsid w:val="00CB1223"/>
    <w:rsid w:val="00CE45A2"/>
    <w:rsid w:val="00CF645F"/>
    <w:rsid w:val="00D126D4"/>
    <w:rsid w:val="00D13026"/>
    <w:rsid w:val="00D2205A"/>
    <w:rsid w:val="00D221E7"/>
    <w:rsid w:val="00DD05BF"/>
    <w:rsid w:val="00DD5AEF"/>
    <w:rsid w:val="00DE4FF8"/>
    <w:rsid w:val="00DE5BB5"/>
    <w:rsid w:val="00DE6FA8"/>
    <w:rsid w:val="00DF7F69"/>
    <w:rsid w:val="00E137B9"/>
    <w:rsid w:val="00E249AE"/>
    <w:rsid w:val="00E30732"/>
    <w:rsid w:val="00E61435"/>
    <w:rsid w:val="00E65CD9"/>
    <w:rsid w:val="00EA2255"/>
    <w:rsid w:val="00EF1E8E"/>
    <w:rsid w:val="00F2085E"/>
    <w:rsid w:val="00F518BF"/>
    <w:rsid w:val="00F53672"/>
    <w:rsid w:val="00F55DC2"/>
    <w:rsid w:val="00FA3946"/>
    <w:rsid w:val="00FB7A9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D7B4D"/>
  <w15:chartTrackingRefBased/>
  <w15:docId w15:val="{BEFBE226-73D8-4D0A-BE0C-434B134A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329F"/>
    <w:pPr>
      <w:ind w:left="720"/>
      <w:contextualSpacing/>
    </w:pPr>
  </w:style>
  <w:style w:type="paragraph" w:styleId="Textodeglobo">
    <w:name w:val="Balloon Text"/>
    <w:basedOn w:val="Normal"/>
    <w:link w:val="TextodegloboCar"/>
    <w:uiPriority w:val="99"/>
    <w:semiHidden/>
    <w:unhideWhenUsed/>
    <w:rsid w:val="00E65C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5CD9"/>
    <w:rPr>
      <w:rFonts w:ascii="Segoe UI" w:hAnsi="Segoe UI" w:cs="Segoe UI"/>
      <w:sz w:val="18"/>
      <w:szCs w:val="18"/>
      <w:lang w:val="es-MX"/>
    </w:rPr>
  </w:style>
  <w:style w:type="paragraph" w:styleId="Encabezado">
    <w:name w:val="header"/>
    <w:basedOn w:val="Normal"/>
    <w:link w:val="EncabezadoCar"/>
    <w:uiPriority w:val="99"/>
    <w:unhideWhenUsed/>
    <w:rsid w:val="006619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198D"/>
    <w:rPr>
      <w:lang w:val="es-MX"/>
    </w:rPr>
  </w:style>
  <w:style w:type="paragraph" w:styleId="Piedepgina">
    <w:name w:val="footer"/>
    <w:basedOn w:val="Normal"/>
    <w:link w:val="PiedepginaCar"/>
    <w:uiPriority w:val="99"/>
    <w:unhideWhenUsed/>
    <w:rsid w:val="006619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198D"/>
    <w:rPr>
      <w:lang w:val="es-MX"/>
    </w:rPr>
  </w:style>
  <w:style w:type="paragraph" w:styleId="NormalWeb">
    <w:name w:val="Normal (Web)"/>
    <w:basedOn w:val="Normal"/>
    <w:uiPriority w:val="99"/>
    <w:semiHidden/>
    <w:unhideWhenUsed/>
    <w:rsid w:val="00420C8A"/>
    <w:pPr>
      <w:spacing w:before="100" w:beforeAutospacing="1" w:after="100" w:afterAutospacing="1" w:line="240" w:lineRule="auto"/>
    </w:pPr>
    <w:rPr>
      <w:rFonts w:ascii="Times New Roman" w:eastAsiaTheme="minorEastAsia" w:hAnsi="Times New Roman"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551302">
      <w:bodyDiv w:val="1"/>
      <w:marLeft w:val="0"/>
      <w:marRight w:val="0"/>
      <w:marTop w:val="0"/>
      <w:marBottom w:val="0"/>
      <w:divBdr>
        <w:top w:val="none" w:sz="0" w:space="0" w:color="auto"/>
        <w:left w:val="none" w:sz="0" w:space="0" w:color="auto"/>
        <w:bottom w:val="none" w:sz="0" w:space="0" w:color="auto"/>
        <w:right w:val="none" w:sz="0" w:space="0" w:color="auto"/>
      </w:divBdr>
    </w:div>
    <w:div w:id="1878006314">
      <w:bodyDiv w:val="1"/>
      <w:marLeft w:val="0"/>
      <w:marRight w:val="0"/>
      <w:marTop w:val="0"/>
      <w:marBottom w:val="0"/>
      <w:divBdr>
        <w:top w:val="none" w:sz="0" w:space="0" w:color="auto"/>
        <w:left w:val="none" w:sz="0" w:space="0" w:color="auto"/>
        <w:bottom w:val="none" w:sz="0" w:space="0" w:color="auto"/>
        <w:right w:val="none" w:sz="0" w:space="0" w:color="auto"/>
      </w:divBdr>
    </w:div>
    <w:div w:id="188687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image" Target="media/image8.emf"/><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emf"/><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9.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2.emf"/><Relationship Id="rId28"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F:\UASP\Presupuesto%202022\Proyec2022.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F:\UASP\Presupuesto%202022\Proyec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UASP\Presupuesto%202022\Proyec2022.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F:\UASP\Presupuesto%202022\Proyec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1" i="0" u="none" strike="noStrike" kern="1200" baseline="0">
                <a:solidFill>
                  <a:schemeClr val="tx1"/>
                </a:solidFill>
                <a:latin typeface="+mn-lt"/>
                <a:ea typeface="+mn-ea"/>
                <a:cs typeface="+mn-cs"/>
              </a:defRPr>
            </a:pPr>
            <a:r>
              <a:rPr lang="en-US" sz="900"/>
              <a:t>Figura No. 1</a:t>
            </a:r>
          </a:p>
          <a:p>
            <a:pPr>
              <a:defRPr/>
            </a:pPr>
            <a:r>
              <a:rPr lang="en-US" sz="1050"/>
              <a:t> </a:t>
            </a:r>
            <a:r>
              <a:rPr lang="en-US" sz="900"/>
              <a:t>Composición de los Ingresos 2022</a:t>
            </a:r>
          </a:p>
          <a:p>
            <a:pPr>
              <a:defRPr/>
            </a:pPr>
            <a:r>
              <a:rPr lang="en-US" sz="900"/>
              <a:t>Gobierno Central </a:t>
            </a:r>
          </a:p>
          <a:p>
            <a:pPr>
              <a:defRPr/>
            </a:pPr>
            <a:r>
              <a:rPr lang="en-US" sz="900"/>
              <a:t>(En Porcentaje))</a:t>
            </a:r>
          </a:p>
        </c:rich>
      </c:tx>
      <c:layout>
        <c:manualLayout>
          <c:xMode val="edge"/>
          <c:yMode val="edge"/>
          <c:x val="0.3545730634245432"/>
          <c:y val="1.4420331604890852E-2"/>
        </c:manualLayout>
      </c:layout>
      <c:overlay val="0"/>
      <c:spPr>
        <a:noFill/>
        <a:ln>
          <a:noFill/>
        </a:ln>
        <a:effectLst/>
      </c:spPr>
      <c:txPr>
        <a:bodyPr rot="0" spcFirstLastPara="1" vertOverflow="ellipsis" vert="horz" wrap="square" anchor="ctr" anchorCtr="1"/>
        <a:lstStyle/>
        <a:p>
          <a:pPr>
            <a:defRPr sz="720" b="1" i="0" u="none" strike="noStrike" kern="1200" baseline="0">
              <a:solidFill>
                <a:schemeClr val="tx1"/>
              </a:solidFill>
              <a:latin typeface="+mn-lt"/>
              <a:ea typeface="+mn-ea"/>
              <a:cs typeface="+mn-cs"/>
            </a:defRPr>
          </a:pPr>
          <a:endParaRPr lang="es-SV"/>
        </a:p>
      </c:txPr>
    </c:title>
    <c:autoTitleDeleted val="0"/>
    <c:plotArea>
      <c:layout>
        <c:manualLayout>
          <c:layoutTarget val="inner"/>
          <c:xMode val="edge"/>
          <c:yMode val="edge"/>
          <c:x val="0.36727238597091072"/>
          <c:y val="0.31204617715468486"/>
          <c:w val="0.45789909015715469"/>
          <c:h val="0.76760953965612866"/>
        </c:manualLayout>
      </c:layout>
      <c:pieChart>
        <c:varyColors val="1"/>
        <c:ser>
          <c:idx val="0"/>
          <c:order val="0"/>
          <c:tx>
            <c:strRef>
              <c:f>'GGC4'!$D$3</c:f>
              <c:strCache>
                <c:ptCount val="1"/>
                <c:pt idx="0">
                  <c:v>2022</c:v>
                </c:pt>
              </c:strCache>
            </c:strRef>
          </c:tx>
          <c:dPt>
            <c:idx val="0"/>
            <c:bubble3D val="0"/>
            <c:spPr>
              <a:solidFill>
                <a:srgbClr val="00206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DAE-441B-9BD0-C5B60906B088}"/>
              </c:ext>
            </c:extLst>
          </c:dPt>
          <c:dPt>
            <c:idx val="1"/>
            <c:bubble3D val="0"/>
            <c:spPr>
              <a:solidFill>
                <a:srgbClr val="FFFF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DAE-441B-9BD0-C5B60906B088}"/>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DAE-441B-9BD0-C5B60906B088}"/>
              </c:ext>
            </c:extLst>
          </c:dPt>
          <c:dPt>
            <c:idx val="3"/>
            <c:bubble3D val="0"/>
            <c:explosion val="11"/>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DAE-441B-9BD0-C5B60906B088}"/>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EDAE-441B-9BD0-C5B60906B088}"/>
              </c:ext>
            </c:extLst>
          </c:dPt>
          <c:dPt>
            <c:idx val="5"/>
            <c:bubble3D val="0"/>
            <c:explosion val="19"/>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EDAE-441B-9BD0-C5B60906B088}"/>
              </c:ext>
            </c:extLst>
          </c:dPt>
          <c:dPt>
            <c:idx val="6"/>
            <c:bubble3D val="0"/>
            <c:explosion val="5"/>
            <c:spPr>
              <a:solidFill>
                <a:srgbClr val="F298EC"/>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EDAE-441B-9BD0-C5B60906B088}"/>
              </c:ext>
            </c:extLst>
          </c:dPt>
          <c:dLbls>
            <c:dLbl>
              <c:idx val="0"/>
              <c:layout>
                <c:manualLayout>
                  <c:x val="-1.5776135433464018E-2"/>
                  <c:y val="0.114636558607227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DAE-441B-9BD0-C5B60906B088}"/>
                </c:ext>
              </c:extLst>
            </c:dLbl>
            <c:dLbl>
              <c:idx val="1"/>
              <c:layout>
                <c:manualLayout>
                  <c:x val="8.1778977819343429E-2"/>
                  <c:y val="0.1588718178520368"/>
                </c:manualLayout>
              </c:layout>
              <c:numFmt formatCode="0.0%" sourceLinked="0"/>
              <c:spPr>
                <a:no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600" b="1" i="0" u="none" strike="noStrike" kern="1200" baseline="0">
                      <a:solidFill>
                        <a:schemeClr val="tx1"/>
                      </a:solidFill>
                      <a:latin typeface="+mn-lt"/>
                      <a:ea typeface="+mn-ea"/>
                      <a:cs typeface="+mn-cs"/>
                    </a:defRPr>
                  </a:pPr>
                  <a:endParaRPr lang="es-SV"/>
                </a:p>
              </c:txPr>
              <c:dLblPos val="bestFit"/>
              <c:showLegendKey val="0"/>
              <c:showVal val="0"/>
              <c:showCatName val="1"/>
              <c:showSerName val="0"/>
              <c:showPercent val="1"/>
              <c:showBubbleSize val="0"/>
              <c:extLst>
                <c:ext xmlns:c15="http://schemas.microsoft.com/office/drawing/2012/chart" uri="{CE6537A1-D6FC-4f65-9D91-7224C49458BB}">
                  <c15:layout>
                    <c:manualLayout>
                      <c:w val="0.15433427762039659"/>
                      <c:h val="0.16561286744315029"/>
                    </c:manualLayout>
                  </c15:layout>
                </c:ext>
                <c:ext xmlns:c16="http://schemas.microsoft.com/office/drawing/2014/chart" uri="{C3380CC4-5D6E-409C-BE32-E72D297353CC}">
                  <c16:uniqueId val="{00000003-EDAE-441B-9BD0-C5B60906B088}"/>
                </c:ext>
              </c:extLst>
            </c:dLbl>
            <c:dLbl>
              <c:idx val="2"/>
              <c:delete val="1"/>
              <c:extLst>
                <c:ext xmlns:c15="http://schemas.microsoft.com/office/drawing/2012/chart" uri="{CE6537A1-D6FC-4f65-9D91-7224C49458BB}"/>
                <c:ext xmlns:c16="http://schemas.microsoft.com/office/drawing/2014/chart" uri="{C3380CC4-5D6E-409C-BE32-E72D297353CC}">
                  <c16:uniqueId val="{00000005-EDAE-441B-9BD0-C5B60906B088}"/>
                </c:ext>
              </c:extLst>
            </c:dLbl>
            <c:dLbl>
              <c:idx val="3"/>
              <c:layout>
                <c:manualLayout>
                  <c:x val="-5.6496076324222474E-2"/>
                  <c:y val="0.11717319590583729"/>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0518833613231297"/>
                      <c:h val="0.16590316454345647"/>
                    </c:manualLayout>
                  </c15:layout>
                </c:ext>
                <c:ext xmlns:c16="http://schemas.microsoft.com/office/drawing/2014/chart" uri="{C3380CC4-5D6E-409C-BE32-E72D297353CC}">
                  <c16:uniqueId val="{00000007-EDAE-441B-9BD0-C5B60906B088}"/>
                </c:ext>
              </c:extLst>
            </c:dLbl>
            <c:dLbl>
              <c:idx val="4"/>
              <c:layout>
                <c:manualLayout>
                  <c:x val="-0.13489704420870863"/>
                  <c:y val="-5.004789164347037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DAE-441B-9BD0-C5B60906B088}"/>
                </c:ext>
              </c:extLst>
            </c:dLbl>
            <c:dLbl>
              <c:idx val="5"/>
              <c:layout>
                <c:manualLayout>
                  <c:x val="-8.7084245822784428E-2"/>
                  <c:y val="-0.1854715190869559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DAE-441B-9BD0-C5B60906B088}"/>
                </c:ext>
              </c:extLst>
            </c:dLbl>
            <c:dLbl>
              <c:idx val="6"/>
              <c:layout>
                <c:manualLayout>
                  <c:x val="-7.6313347753289837E-2"/>
                  <c:y val="-0.1514315779059884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EDAE-441B-9BD0-C5B60906B088}"/>
                </c:ext>
              </c:extLst>
            </c:dLbl>
            <c:numFmt formatCode="0.0%" sourceLinked="0"/>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es-SV"/>
              </a:p>
            </c:txPr>
            <c:dLblPos val="ctr"/>
            <c:showLegendKey val="0"/>
            <c:showVal val="0"/>
            <c:showCatName val="1"/>
            <c:showSerName val="0"/>
            <c:showPercent val="1"/>
            <c:showBubbleSize val="0"/>
            <c:showLeaderLines val="1"/>
            <c:leaderLines>
              <c:spPr>
                <a:ln w="12700">
                  <a:solidFill>
                    <a:schemeClr val="tx1"/>
                  </a:solidFill>
                </a:ln>
                <a:effectLst/>
              </c:spPr>
            </c:leaderLines>
            <c:extLst>
              <c:ext xmlns:c15="http://schemas.microsoft.com/office/drawing/2012/chart" uri="{CE6537A1-D6FC-4f65-9D91-7224C49458BB}"/>
            </c:extLst>
          </c:dLbls>
          <c:cat>
            <c:strRef>
              <c:f>'GGC4'!$C$4:$C$10</c:f>
              <c:strCache>
                <c:ptCount val="7"/>
                <c:pt idx="0">
                  <c:v>Ingresos Tributarios</c:v>
                </c:pt>
                <c:pt idx="1">
                  <c:v>Ingresos No Tributarios</c:v>
                </c:pt>
                <c:pt idx="2">
                  <c:v>Ingresos por Venta de Activos</c:v>
                </c:pt>
                <c:pt idx="3">
                  <c:v>Transferencias de Capital</c:v>
                </c:pt>
                <c:pt idx="4">
                  <c:v>Recuperación de Préstamos</c:v>
                </c:pt>
                <c:pt idx="5">
                  <c:v>Contribuciones Especiales</c:v>
                </c:pt>
                <c:pt idx="6">
                  <c:v>Financiamiento</c:v>
                </c:pt>
              </c:strCache>
            </c:strRef>
          </c:cat>
          <c:val>
            <c:numRef>
              <c:f>'GGC4'!$D$4:$D$10</c:f>
              <c:numCache>
                <c:formatCode>_(* #,##0.0_);_(* \(#,##0.0\);_(* "-"??_);_(@_)</c:formatCode>
                <c:ptCount val="7"/>
                <c:pt idx="0">
                  <c:v>6148.1721900000002</c:v>
                </c:pt>
                <c:pt idx="1">
                  <c:v>418.65343100000001</c:v>
                </c:pt>
                <c:pt idx="2">
                  <c:v>0.26986500000000002</c:v>
                </c:pt>
                <c:pt idx="3">
                  <c:v>21.145610000000001</c:v>
                </c:pt>
                <c:pt idx="4">
                  <c:v>0.37690000000000001</c:v>
                </c:pt>
                <c:pt idx="5">
                  <c:v>170.06747900000002</c:v>
                </c:pt>
                <c:pt idx="6">
                  <c:v>1209.046515</c:v>
                </c:pt>
              </c:numCache>
            </c:numRef>
          </c:val>
          <c:extLst>
            <c:ext xmlns:c16="http://schemas.microsoft.com/office/drawing/2014/chart" uri="{C3380CC4-5D6E-409C-BE32-E72D297353CC}">
              <c16:uniqueId val="{0000000E-EDAE-441B-9BD0-C5B60906B088}"/>
            </c:ext>
          </c:extLst>
        </c:ser>
        <c:dLbls>
          <c:showLegendKey val="0"/>
          <c:showVal val="0"/>
          <c:showCatName val="0"/>
          <c:showSerName val="0"/>
          <c:showPercent val="1"/>
          <c:showBubbleSize val="0"/>
          <c:showLeaderLines val="1"/>
        </c:dLbls>
        <c:firstSliceAng val="332"/>
      </c:pieChart>
      <c:spPr>
        <a:noFill/>
        <a:ln>
          <a:noFill/>
        </a:ln>
        <a:effectLst/>
      </c:spPr>
    </c:plotArea>
    <c:plotVisOnly val="1"/>
    <c:dispBlanksAs val="zero"/>
    <c:showDLblsOverMax val="0"/>
  </c:chart>
  <c:spPr>
    <a:noFill/>
    <a:ln w="9525" cap="flat" cmpd="sng" algn="ctr">
      <a:noFill/>
      <a:round/>
    </a:ln>
    <a:effectLst/>
  </c:spPr>
  <c:txPr>
    <a:bodyPr/>
    <a:lstStyle/>
    <a:p>
      <a:pPr>
        <a:defRPr sz="600">
          <a:solidFill>
            <a:schemeClr val="tx1"/>
          </a:solidFill>
          <a:latin typeface="+mn-lt"/>
        </a:defRPr>
      </a:pPr>
      <a:endParaRPr lang="es-SV"/>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1" i="0" u="none" strike="noStrike" kern="1200" spc="0" baseline="0">
                <a:solidFill>
                  <a:schemeClr val="tx1"/>
                </a:solidFill>
                <a:latin typeface="+mn-lt"/>
                <a:ea typeface="+mn-ea"/>
                <a:cs typeface="+mn-cs"/>
              </a:defRPr>
            </a:pPr>
            <a:r>
              <a:rPr lang="en-US" sz="900">
                <a:solidFill>
                  <a:schemeClr val="tx1"/>
                </a:solidFill>
              </a:rPr>
              <a:t>Figura No. 2 </a:t>
            </a:r>
          </a:p>
          <a:p>
            <a:pPr>
              <a:defRPr sz="700">
                <a:solidFill>
                  <a:schemeClr val="tx1"/>
                </a:solidFill>
              </a:defRPr>
            </a:pPr>
            <a:r>
              <a:rPr lang="en-US" sz="700" i="1">
                <a:solidFill>
                  <a:schemeClr val="tx1"/>
                </a:solidFill>
              </a:rPr>
              <a:t>Comportamiento del Gasto Estimado 2022</a:t>
            </a:r>
          </a:p>
          <a:p>
            <a:pPr>
              <a:defRPr sz="700">
                <a:solidFill>
                  <a:schemeClr val="tx1"/>
                </a:solidFill>
              </a:defRPr>
            </a:pPr>
            <a:r>
              <a:rPr lang="en-US" sz="700" i="1">
                <a:solidFill>
                  <a:schemeClr val="tx1"/>
                </a:solidFill>
              </a:rPr>
              <a:t>Gobierno Central </a:t>
            </a:r>
          </a:p>
          <a:p>
            <a:pPr>
              <a:defRPr sz="700">
                <a:solidFill>
                  <a:schemeClr val="tx1"/>
                </a:solidFill>
              </a:defRPr>
            </a:pPr>
            <a:r>
              <a:rPr lang="en-US" sz="700" i="1">
                <a:solidFill>
                  <a:schemeClr val="tx1"/>
                </a:solidFill>
              </a:rPr>
              <a:t>(En Porentaje)</a:t>
            </a:r>
          </a:p>
        </c:rich>
      </c:tx>
      <c:layout>
        <c:manualLayout>
          <c:xMode val="edge"/>
          <c:yMode val="edge"/>
          <c:x val="0.18533984976015927"/>
          <c:y val="0"/>
        </c:manualLayout>
      </c:layout>
      <c:overlay val="0"/>
      <c:spPr>
        <a:noFill/>
        <a:ln>
          <a:noFill/>
        </a:ln>
        <a:effectLst/>
      </c:spPr>
      <c:txPr>
        <a:bodyPr rot="0" spcFirstLastPara="1" vertOverflow="ellipsis" vert="horz" wrap="square" anchor="ctr" anchorCtr="1"/>
        <a:lstStyle/>
        <a:p>
          <a:pPr>
            <a:defRPr sz="700" b="1" i="0" u="none" strike="noStrike" kern="1200" spc="0" baseline="0">
              <a:solidFill>
                <a:schemeClr val="tx1"/>
              </a:solidFill>
              <a:latin typeface="+mn-lt"/>
              <a:ea typeface="+mn-ea"/>
              <a:cs typeface="+mn-cs"/>
            </a:defRPr>
          </a:pPr>
          <a:endParaRPr lang="es-SV"/>
        </a:p>
      </c:txPr>
    </c:title>
    <c:autoTitleDeleted val="0"/>
    <c:plotArea>
      <c:layout>
        <c:manualLayout>
          <c:layoutTarget val="inner"/>
          <c:xMode val="edge"/>
          <c:yMode val="edge"/>
          <c:x val="0.18913446512827514"/>
          <c:y val="0.22942476811912454"/>
          <c:w val="0.47683431189598408"/>
          <c:h val="0.65730944986458362"/>
        </c:manualLayout>
      </c:layout>
      <c:pieChart>
        <c:varyColors val="1"/>
        <c:ser>
          <c:idx val="0"/>
          <c:order val="0"/>
          <c:tx>
            <c:strRef>
              <c:f>Gráfico6!$D$5:$D$6</c:f>
              <c:strCache>
                <c:ptCount val="2"/>
                <c:pt idx="0">
                  <c:v>2022</c:v>
                </c:pt>
              </c:strCache>
            </c:strRef>
          </c:tx>
          <c:explosion val="3"/>
          <c:dPt>
            <c:idx val="0"/>
            <c:bubble3D val="0"/>
            <c:spPr>
              <a:solidFill>
                <a:schemeClr val="accent2">
                  <a:lumMod val="40000"/>
                  <a:lumOff val="60000"/>
                </a:schemeClr>
              </a:solidFill>
              <a:ln w="19050">
                <a:solidFill>
                  <a:schemeClr val="lt1"/>
                </a:solidFill>
              </a:ln>
              <a:effectLst/>
            </c:spPr>
            <c:extLst>
              <c:ext xmlns:c16="http://schemas.microsoft.com/office/drawing/2014/chart" uri="{C3380CC4-5D6E-409C-BE32-E72D297353CC}">
                <c16:uniqueId val="{00000001-C354-654A-9835-5A46E5E7D867}"/>
              </c:ext>
            </c:extLst>
          </c:dPt>
          <c:dPt>
            <c:idx val="1"/>
            <c:bubble3D val="0"/>
            <c:spPr>
              <a:solidFill>
                <a:srgbClr val="FFFF00"/>
              </a:solidFill>
              <a:ln w="19050">
                <a:solidFill>
                  <a:schemeClr val="lt1"/>
                </a:solidFill>
              </a:ln>
              <a:effectLst/>
            </c:spPr>
            <c:extLst>
              <c:ext xmlns:c16="http://schemas.microsoft.com/office/drawing/2014/chart" uri="{C3380CC4-5D6E-409C-BE32-E72D297353CC}">
                <c16:uniqueId val="{00000003-C354-654A-9835-5A46E5E7D867}"/>
              </c:ext>
            </c:extLst>
          </c:dPt>
          <c:dPt>
            <c:idx val="2"/>
            <c:bubble3D val="0"/>
            <c:spPr>
              <a:solidFill>
                <a:srgbClr val="00B050"/>
              </a:solidFill>
              <a:ln w="19050">
                <a:solidFill>
                  <a:schemeClr val="lt1"/>
                </a:solidFill>
              </a:ln>
              <a:effectLst/>
            </c:spPr>
            <c:extLst>
              <c:ext xmlns:c16="http://schemas.microsoft.com/office/drawing/2014/chart" uri="{C3380CC4-5D6E-409C-BE32-E72D297353CC}">
                <c16:uniqueId val="{00000005-C354-654A-9835-5A46E5E7D867}"/>
              </c:ext>
            </c:extLst>
          </c:dPt>
          <c:dLbls>
            <c:dLbl>
              <c:idx val="0"/>
              <c:layout>
                <c:manualLayout>
                  <c:x val="-1.0996832292515165E-2"/>
                  <c:y val="-0.1191349369000107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354-654A-9835-5A46E5E7D867}"/>
                </c:ext>
              </c:extLst>
            </c:dLbl>
            <c:dLbl>
              <c:idx val="1"/>
              <c:layout>
                <c:manualLayout>
                  <c:x val="3.0711557607023258E-2"/>
                  <c:y val="-0.135670860258283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354-654A-9835-5A46E5E7D867}"/>
                </c:ext>
              </c:extLst>
            </c:dLbl>
            <c:dLbl>
              <c:idx val="2"/>
              <c:layout>
                <c:manualLayout>
                  <c:x val="0.10943216580686044"/>
                  <c:y val="-1.245354526823624E-2"/>
                </c:manualLayout>
              </c:layout>
              <c:showLegendKey val="0"/>
              <c:showVal val="0"/>
              <c:showCatName val="1"/>
              <c:showSerName val="0"/>
              <c:showPercent val="1"/>
              <c:showBubbleSize val="0"/>
              <c:extLst>
                <c:ext xmlns:c15="http://schemas.microsoft.com/office/drawing/2012/chart" uri="{CE6537A1-D6FC-4f65-9D91-7224C49458BB}">
                  <c15:layout>
                    <c:manualLayout>
                      <c:w val="0.20275185400482654"/>
                      <c:h val="0.16735202492211837"/>
                    </c:manualLayout>
                  </c15:layout>
                </c:ext>
                <c:ext xmlns:c16="http://schemas.microsoft.com/office/drawing/2014/chart" uri="{C3380CC4-5D6E-409C-BE32-E72D297353CC}">
                  <c16:uniqueId val="{00000005-C354-654A-9835-5A46E5E7D867}"/>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s-SV"/>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Gráfico6!$B$7:$B$9</c:f>
              <c:strCache>
                <c:ptCount val="3"/>
                <c:pt idx="0">
                  <c:v>Gastos Corrientes</c:v>
                </c:pt>
                <c:pt idx="1">
                  <c:v>Gastos de Capital</c:v>
                </c:pt>
                <c:pt idx="2">
                  <c:v>Amortización</c:v>
                </c:pt>
              </c:strCache>
            </c:strRef>
          </c:cat>
          <c:val>
            <c:numRef>
              <c:f>Gráfico6!$D$7:$D$9</c:f>
              <c:numCache>
                <c:formatCode>_(* #,##0.0_);_(* \(#,##0.0\);_(* "-"??_);_(@_)</c:formatCode>
                <c:ptCount val="3"/>
                <c:pt idx="0">
                  <c:v>5860.9157919999998</c:v>
                </c:pt>
                <c:pt idx="1">
                  <c:v>1594.6688530000001</c:v>
                </c:pt>
                <c:pt idx="2">
                  <c:v>512.14734699999997</c:v>
                </c:pt>
              </c:numCache>
            </c:numRef>
          </c:val>
          <c:extLst>
            <c:ext xmlns:c16="http://schemas.microsoft.com/office/drawing/2014/chart" uri="{C3380CC4-5D6E-409C-BE32-E72D297353CC}">
              <c16:uniqueId val="{00000006-C354-654A-9835-5A46E5E7D867}"/>
            </c:ext>
          </c:extLst>
        </c:ser>
        <c:dLbls>
          <c:showLegendKey val="0"/>
          <c:showVal val="0"/>
          <c:showCatName val="1"/>
          <c:showSerName val="0"/>
          <c:showPercent val="1"/>
          <c:showBubbleSize val="0"/>
          <c:showLeaderLines val="1"/>
        </c:dLbls>
        <c:firstSliceAng val="158"/>
      </c:pieChart>
      <c:spPr>
        <a:noFill/>
        <a:ln>
          <a:noFill/>
        </a:ln>
        <a:effectLst/>
      </c:spPr>
    </c:plotArea>
    <c:plotVisOnly val="1"/>
    <c:dispBlanksAs val="gap"/>
    <c:showDLblsOverMax val="0"/>
  </c:chart>
  <c:spPr>
    <a:noFill/>
    <a:ln w="19050" cap="flat" cmpd="sng" algn="ctr">
      <a:noFill/>
      <a:round/>
    </a:ln>
    <a:effectLst/>
  </c:spPr>
  <c:txPr>
    <a:bodyPr/>
    <a:lstStyle/>
    <a:p>
      <a:pPr>
        <a:defRPr sz="800" b="1">
          <a:latin typeface="+mn-lt"/>
        </a:defRPr>
      </a:pPr>
      <a:endParaRPr lang="es-S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1" i="0" u="none" strike="noStrike" kern="1200" spc="0" baseline="0">
                <a:solidFill>
                  <a:schemeClr val="tx1"/>
                </a:solidFill>
                <a:latin typeface="+mn-lt"/>
                <a:ea typeface="+mn-ea"/>
                <a:cs typeface="+mn-cs"/>
              </a:defRPr>
            </a:pPr>
            <a:r>
              <a:rPr lang="en-US" sz="1050"/>
              <a:t>Figura 3:   </a:t>
            </a:r>
            <a:r>
              <a:rPr lang="en-US" sz="900" i="1"/>
              <a:t>Distribución del Presupuesto por Órgano 2022</a:t>
            </a:r>
          </a:p>
        </c:rich>
      </c:tx>
      <c:layout>
        <c:manualLayout>
          <c:xMode val="edge"/>
          <c:yMode val="edge"/>
          <c:x val="0.13115751150479615"/>
          <c:y val="4.8520135856380394E-3"/>
        </c:manualLayout>
      </c:layout>
      <c:overlay val="0"/>
      <c:spPr>
        <a:noFill/>
        <a:ln>
          <a:noFill/>
        </a:ln>
        <a:effectLst/>
      </c:spPr>
      <c:txPr>
        <a:bodyPr rot="0" spcFirstLastPara="1" vertOverflow="ellipsis" vert="horz" wrap="square" anchor="ctr" anchorCtr="1"/>
        <a:lstStyle/>
        <a:p>
          <a:pPr>
            <a:defRPr sz="960" b="1" i="0" u="none" strike="noStrike" kern="1200" spc="0" baseline="0">
              <a:solidFill>
                <a:schemeClr val="tx1"/>
              </a:solidFill>
              <a:latin typeface="+mn-lt"/>
              <a:ea typeface="+mn-ea"/>
              <a:cs typeface="+mn-cs"/>
            </a:defRPr>
          </a:pPr>
          <a:endParaRPr lang="es-SV"/>
        </a:p>
      </c:txPr>
    </c:title>
    <c:autoTitleDeleted val="0"/>
    <c:view3D>
      <c:rotX val="60"/>
      <c:rotY val="3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1170304162430144E-2"/>
          <c:y val="0.30531162418257041"/>
          <c:w val="0.88865470413001213"/>
          <c:h val="0.59919495357197994"/>
        </c:manualLayout>
      </c:layout>
      <c:pie3DChart>
        <c:varyColors val="1"/>
        <c:ser>
          <c:idx val="0"/>
          <c:order val="0"/>
          <c:tx>
            <c:strRef>
              <c:f>'Anális Cta'!$D$93</c:f>
              <c:strCache>
                <c:ptCount val="1"/>
                <c:pt idx="0">
                  <c:v>Monto</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526-E14D-8A67-E49A532627AB}"/>
              </c:ext>
            </c:extLst>
          </c:dPt>
          <c:dPt>
            <c:idx val="1"/>
            <c:bubble3D val="0"/>
            <c:spPr>
              <a:solidFill>
                <a:srgbClr val="FF00FF"/>
              </a:solidFill>
              <a:ln w="25400">
                <a:solidFill>
                  <a:schemeClr val="lt1"/>
                </a:solidFill>
              </a:ln>
              <a:effectLst/>
              <a:sp3d contourW="25400">
                <a:contourClr>
                  <a:schemeClr val="lt1"/>
                </a:contourClr>
              </a:sp3d>
            </c:spPr>
            <c:extLst>
              <c:ext xmlns:c16="http://schemas.microsoft.com/office/drawing/2014/chart" uri="{C3380CC4-5D6E-409C-BE32-E72D297353CC}">
                <c16:uniqueId val="{00000003-B526-E14D-8A67-E49A532627AB}"/>
              </c:ext>
            </c:extLst>
          </c:dPt>
          <c:dPt>
            <c:idx val="2"/>
            <c:bubble3D val="0"/>
            <c:spPr>
              <a:solidFill>
                <a:srgbClr val="FFFF00"/>
              </a:solidFill>
              <a:ln w="25400">
                <a:solidFill>
                  <a:schemeClr val="lt1"/>
                </a:solidFill>
              </a:ln>
              <a:effectLst/>
              <a:sp3d contourW="25400">
                <a:contourClr>
                  <a:schemeClr val="lt1"/>
                </a:contourClr>
              </a:sp3d>
            </c:spPr>
            <c:extLst>
              <c:ext xmlns:c16="http://schemas.microsoft.com/office/drawing/2014/chart" uri="{C3380CC4-5D6E-409C-BE32-E72D297353CC}">
                <c16:uniqueId val="{00000005-B526-E14D-8A67-E49A532627AB}"/>
              </c:ext>
            </c:extLst>
          </c:dPt>
          <c:dPt>
            <c:idx val="3"/>
            <c:bubble3D val="0"/>
            <c:spPr>
              <a:solidFill>
                <a:srgbClr val="0070C0"/>
              </a:solidFill>
              <a:ln w="25400">
                <a:solidFill>
                  <a:schemeClr val="lt1"/>
                </a:solidFill>
              </a:ln>
              <a:effectLst/>
              <a:sp3d contourW="25400">
                <a:contourClr>
                  <a:schemeClr val="lt1"/>
                </a:contourClr>
              </a:sp3d>
            </c:spPr>
            <c:extLst>
              <c:ext xmlns:c16="http://schemas.microsoft.com/office/drawing/2014/chart" uri="{C3380CC4-5D6E-409C-BE32-E72D297353CC}">
                <c16:uniqueId val="{00000007-B526-E14D-8A67-E49A532627AB}"/>
              </c:ext>
            </c:extLst>
          </c:dPt>
          <c:dPt>
            <c:idx val="4"/>
            <c:bubble3D val="0"/>
            <c:spPr>
              <a:solidFill>
                <a:srgbClr val="002060"/>
              </a:solidFill>
              <a:ln w="25400">
                <a:solidFill>
                  <a:schemeClr val="lt1"/>
                </a:solidFill>
              </a:ln>
              <a:effectLst/>
              <a:sp3d contourW="25400">
                <a:contourClr>
                  <a:schemeClr val="lt1"/>
                </a:contourClr>
              </a:sp3d>
            </c:spPr>
            <c:extLst>
              <c:ext xmlns:c16="http://schemas.microsoft.com/office/drawing/2014/chart" uri="{C3380CC4-5D6E-409C-BE32-E72D297353CC}">
                <c16:uniqueId val="{00000009-B526-E14D-8A67-E49A532627AB}"/>
              </c:ext>
            </c:extLst>
          </c:dPt>
          <c:dLbls>
            <c:dLbl>
              <c:idx val="0"/>
              <c:layout>
                <c:manualLayout>
                  <c:x val="4.880471022203306E-2"/>
                  <c:y val="-5.252591307442502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526-E14D-8A67-E49A532627AB}"/>
                </c:ext>
              </c:extLst>
            </c:dLbl>
            <c:dLbl>
              <c:idx val="1"/>
              <c:layout>
                <c:manualLayout>
                  <c:x val="0.18289375990163392"/>
                  <c:y val="0.1223577561279415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526-E14D-8A67-E49A532627AB}"/>
                </c:ext>
              </c:extLst>
            </c:dLbl>
            <c:dLbl>
              <c:idx val="2"/>
              <c:layout>
                <c:manualLayout>
                  <c:x val="0.11276117942945285"/>
                  <c:y val="-9.408245366709065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526-E14D-8A67-E49A532627AB}"/>
                </c:ext>
              </c:extLst>
            </c:dLbl>
            <c:dLbl>
              <c:idx val="3"/>
              <c:layout>
                <c:manualLayout>
                  <c:x val="-2.1306660991700362E-2"/>
                  <c:y val="-6.320832777258779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526-E14D-8A67-E49A532627AB}"/>
                </c:ext>
              </c:extLst>
            </c:dLbl>
            <c:dLbl>
              <c:idx val="4"/>
              <c:layout>
                <c:manualLayout>
                  <c:x val="-0.20883087812221671"/>
                  <c:y val="9.6401085457538151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B526-E14D-8A67-E49A532627AB}"/>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mn-lt"/>
                    <a:ea typeface="+mn-ea"/>
                    <a:cs typeface="+mn-cs"/>
                  </a:defRPr>
                </a:pPr>
                <a:endParaRPr lang="es-SV"/>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'Anális Cta'!$C$94:$C$98</c:f>
              <c:strCache>
                <c:ptCount val="5"/>
                <c:pt idx="0">
                  <c:v>Órgano Legislativo</c:v>
                </c:pt>
                <c:pt idx="1">
                  <c:v>Órgano Judicial</c:v>
                </c:pt>
                <c:pt idx="2">
                  <c:v>Órgano Ejecutivo</c:v>
                </c:pt>
                <c:pt idx="3">
                  <c:v>Transferencias</c:v>
                </c:pt>
                <c:pt idx="4">
                  <c:v>Servicio de la Deuda</c:v>
                </c:pt>
              </c:strCache>
            </c:strRef>
          </c:cat>
          <c:val>
            <c:numRef>
              <c:f>'Anális Cta'!$D$94:$D$98</c:f>
              <c:numCache>
                <c:formatCode>_(* #,##0.00_);_(* \(#,##0.00\);_(* "-"??_);_(@_)</c:formatCode>
                <c:ptCount val="5"/>
                <c:pt idx="0">
                  <c:v>57.6</c:v>
                </c:pt>
                <c:pt idx="1">
                  <c:v>370.59572500000002</c:v>
                </c:pt>
                <c:pt idx="2">
                  <c:v>4337.777016</c:v>
                </c:pt>
                <c:pt idx="3">
                  <c:v>1771.1556089999999</c:v>
                </c:pt>
                <c:pt idx="4">
                  <c:v>1430.60364</c:v>
                </c:pt>
              </c:numCache>
            </c:numRef>
          </c:val>
          <c:extLst>
            <c:ext xmlns:c16="http://schemas.microsoft.com/office/drawing/2014/chart" uri="{C3380CC4-5D6E-409C-BE32-E72D297353CC}">
              <c16:uniqueId val="{0000000A-B526-E14D-8A67-E49A532627AB}"/>
            </c:ext>
          </c:extLst>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sz="800" b="1">
          <a:solidFill>
            <a:schemeClr val="tx1"/>
          </a:solidFill>
        </a:defRPr>
      </a:pPr>
      <a:endParaRPr lang="es-SV"/>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Figura  No  4 </a:t>
            </a:r>
          </a:p>
          <a:p>
            <a:pPr>
              <a:defRPr/>
            </a:pPr>
            <a:r>
              <a:rPr lang="en-US"/>
              <a:t>Comportamiento del Gasto   </a:t>
            </a:r>
          </a:p>
          <a:p>
            <a:pPr>
              <a:defRPr/>
            </a:pPr>
            <a:r>
              <a:rPr lang="en-US"/>
              <a:t>Gobierno Central</a:t>
            </a:r>
          </a:p>
          <a:p>
            <a:pPr>
              <a:defRPr/>
            </a:pPr>
            <a:r>
              <a:rPr lang="en-US"/>
              <a:t>(En Millones de dólares)</a:t>
            </a:r>
          </a:p>
        </c:rich>
      </c:tx>
      <c:layout>
        <c:manualLayout>
          <c:xMode val="edge"/>
          <c:yMode val="edge"/>
          <c:x val="0.3957713619130942"/>
          <c:y val="8.8798780391971966E-4"/>
        </c:manualLayout>
      </c:layout>
      <c:overlay val="0"/>
      <c:spPr>
        <a:noFill/>
        <a:ln>
          <a:noFill/>
        </a:ln>
        <a:effectLst/>
      </c:spPr>
    </c:title>
    <c:autoTitleDeleted val="0"/>
    <c:plotArea>
      <c:layout>
        <c:manualLayout>
          <c:layoutTarget val="inner"/>
          <c:xMode val="edge"/>
          <c:yMode val="edge"/>
          <c:x val="0.12789995159234538"/>
          <c:y val="3.9250807990343056E-2"/>
          <c:w val="0.8576743896860608"/>
          <c:h val="0.80920835494365595"/>
        </c:manualLayout>
      </c:layout>
      <c:barChart>
        <c:barDir val="col"/>
        <c:grouping val="clustered"/>
        <c:varyColors val="0"/>
        <c:ser>
          <c:idx val="0"/>
          <c:order val="0"/>
          <c:tx>
            <c:strRef>
              <c:f>'Gráficos Gastos'!$B$8</c:f>
              <c:strCache>
                <c:ptCount val="1"/>
                <c:pt idx="0">
                  <c:v>Total Gasto</c:v>
                </c:pt>
              </c:strCache>
            </c:strRef>
          </c:tx>
          <c:spPr>
            <a:solidFill>
              <a:srgbClr val="00B050"/>
            </a:solidFill>
            <a:ln>
              <a:noFill/>
            </a:ln>
            <a:effectLst/>
          </c:spPr>
          <c:invertIfNegative val="0"/>
          <c:trendline>
            <c:spPr>
              <a:ln w="38100" cap="flat" cmpd="sng" algn="ctr">
                <a:solidFill>
                  <a:schemeClr val="dk1"/>
                </a:solidFill>
                <a:prstDash val="solid"/>
                <a:miter lim="800000"/>
              </a:ln>
              <a:effectLst/>
            </c:spPr>
            <c:trendlineType val="linear"/>
            <c:dispRSqr val="0"/>
            <c:dispEq val="0"/>
          </c:trendline>
          <c:cat>
            <c:numRef>
              <c:f>'Gráficos Gastos'!$C$4:$T$4</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'Gráficos Gastos'!$C$8:$T$8</c:f>
              <c:numCache>
                <c:formatCode>_-* #,##0.0_-;\-* #,##0.0_-;_-* "-"??_-;_-@_-</c:formatCode>
                <c:ptCount val="18"/>
                <c:pt idx="0">
                  <c:v>3132.1334749999996</c:v>
                </c:pt>
                <c:pt idx="1">
                  <c:v>3634.4831000000008</c:v>
                </c:pt>
                <c:pt idx="2">
                  <c:v>3258.1862999999998</c:v>
                </c:pt>
                <c:pt idx="3">
                  <c:v>3624.0858599999997</c:v>
                </c:pt>
                <c:pt idx="4">
                  <c:v>4727.5703000000012</c:v>
                </c:pt>
                <c:pt idx="5">
                  <c:v>3995.4664999999986</c:v>
                </c:pt>
                <c:pt idx="6">
                  <c:v>4863.5352000000003</c:v>
                </c:pt>
                <c:pt idx="7">
                  <c:v>4341.5427</c:v>
                </c:pt>
                <c:pt idx="8">
                  <c:v>4625.3233</c:v>
                </c:pt>
                <c:pt idx="9">
                  <c:v>5741.8598000000002</c:v>
                </c:pt>
                <c:pt idx="10">
                  <c:v>4775.8863999999994</c:v>
                </c:pt>
                <c:pt idx="11">
                  <c:v>4804.9281000000001</c:v>
                </c:pt>
                <c:pt idx="12">
                  <c:v>5223.4288000000006</c:v>
                </c:pt>
                <c:pt idx="13">
                  <c:v>5485.5724999999993</c:v>
                </c:pt>
                <c:pt idx="14">
                  <c:v>6591.9169000000002</c:v>
                </c:pt>
                <c:pt idx="15">
                  <c:v>7738.0839999999989</c:v>
                </c:pt>
                <c:pt idx="16">
                  <c:v>7423.6257940000005</c:v>
                </c:pt>
                <c:pt idx="17">
                  <c:v>7967.731992</c:v>
                </c:pt>
              </c:numCache>
            </c:numRef>
          </c:val>
          <c:extLst>
            <c:ext xmlns:c16="http://schemas.microsoft.com/office/drawing/2014/chart" uri="{C3380CC4-5D6E-409C-BE32-E72D297353CC}">
              <c16:uniqueId val="{00000001-5A89-40CC-9138-07C0EBDC7263}"/>
            </c:ext>
          </c:extLst>
        </c:ser>
        <c:dLbls>
          <c:showLegendKey val="0"/>
          <c:showVal val="0"/>
          <c:showCatName val="0"/>
          <c:showSerName val="0"/>
          <c:showPercent val="0"/>
          <c:showBubbleSize val="0"/>
        </c:dLbls>
        <c:gapWidth val="150"/>
        <c:axId val="12859216"/>
        <c:axId val="12854320"/>
      </c:barChart>
      <c:catAx>
        <c:axId val="12859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800"/>
            </a:pPr>
            <a:endParaRPr lang="es-SV"/>
          </a:p>
        </c:txPr>
        <c:crossAx val="12854320"/>
        <c:crosses val="autoZero"/>
        <c:auto val="1"/>
        <c:lblAlgn val="ctr"/>
        <c:lblOffset val="100"/>
        <c:noMultiLvlLbl val="0"/>
      </c:catAx>
      <c:valAx>
        <c:axId val="12854320"/>
        <c:scaling>
          <c:orientation val="minMax"/>
          <c:max val="8100"/>
          <c:min val="0"/>
        </c:scaling>
        <c:delete val="0"/>
        <c:axPos val="l"/>
        <c:title>
          <c:tx>
            <c:rich>
              <a:bodyPr rot="-5400000" vert="horz"/>
              <a:lstStyle/>
              <a:p>
                <a:pPr>
                  <a:defRPr/>
                </a:pPr>
                <a:r>
                  <a:rPr lang="es-SV"/>
                  <a:t>Monto</a:t>
                </a:r>
              </a:p>
            </c:rich>
          </c:tx>
          <c:layout>
            <c:manualLayout>
              <c:xMode val="edge"/>
              <c:yMode val="edge"/>
              <c:x val="1.2805122371597394E-2"/>
              <c:y val="0.37124503462805414"/>
            </c:manualLayout>
          </c:layout>
          <c:overlay val="0"/>
          <c:spPr>
            <a:noFill/>
            <a:ln>
              <a:noFill/>
            </a:ln>
            <a:effectLst/>
          </c:spPr>
        </c:title>
        <c:numFmt formatCode="_-* #,##0.0_-;\-* #,##0.0_-;_-* &quot;-&quot;??_-;_-@_-" sourceLinked="1"/>
        <c:majorTickMark val="none"/>
        <c:minorTickMark val="none"/>
        <c:tickLblPos val="nextTo"/>
        <c:spPr>
          <a:noFill/>
          <a:ln>
            <a:noFill/>
          </a:ln>
          <a:effectLst/>
        </c:spPr>
        <c:txPr>
          <a:bodyPr rot="-60000000" vert="horz"/>
          <a:lstStyle/>
          <a:p>
            <a:pPr>
              <a:defRPr sz="800"/>
            </a:pPr>
            <a:endParaRPr lang="es-SV"/>
          </a:p>
        </c:txPr>
        <c:crossAx val="1285921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800">
          <a:latin typeface="Tw Cen MT" panose="020B0602020104020603" pitchFamily="34" charset="0"/>
        </a:defRPr>
      </a:pPr>
      <a:endParaRPr lang="es-SV"/>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0.92683</cdr:y>
    </cdr:from>
    <cdr:to>
      <cdr:x>0.4023</cdr:x>
      <cdr:y>1</cdr:y>
    </cdr:to>
    <cdr:sp macro="" textlink="">
      <cdr:nvSpPr>
        <cdr:cNvPr id="2" name="CuadroTexto 1"/>
        <cdr:cNvSpPr txBox="1"/>
      </cdr:nvSpPr>
      <cdr:spPr>
        <a:xfrm xmlns:a="http://schemas.openxmlformats.org/drawingml/2006/main">
          <a:off x="0" y="2171701"/>
          <a:ext cx="1200150" cy="17144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SV" sz="700" b="1">
              <a:solidFill>
                <a:schemeClr val="tx1"/>
              </a:solidFill>
              <a:latin typeface="+mn-lt"/>
              <a:cs typeface="Times New Roman" panose="02020603050405020304" pitchFamily="18" charset="0"/>
            </a:rPr>
            <a:t>Fuente:  Ministerio de Hacienda</a:t>
          </a:r>
        </a:p>
      </cdr:txBody>
    </cdr:sp>
  </cdr:relSizeAnchor>
</c:userShapes>
</file>

<file path=word/drawings/drawing2.xml><?xml version="1.0" encoding="utf-8"?>
<c:userShapes xmlns:c="http://schemas.openxmlformats.org/drawingml/2006/chart">
  <cdr:relSizeAnchor xmlns:cdr="http://schemas.openxmlformats.org/drawingml/2006/chartDrawing">
    <cdr:from>
      <cdr:x>0.0121</cdr:x>
      <cdr:y>0.90799</cdr:y>
    </cdr:from>
    <cdr:to>
      <cdr:x>0.66929</cdr:x>
      <cdr:y>0.98934</cdr:y>
    </cdr:to>
    <cdr:sp macro="" textlink="">
      <cdr:nvSpPr>
        <cdr:cNvPr id="2" name="CuadroTexto 1"/>
        <cdr:cNvSpPr txBox="1"/>
      </cdr:nvSpPr>
      <cdr:spPr>
        <a:xfrm xmlns:a="http://schemas.openxmlformats.org/drawingml/2006/main">
          <a:off x="42689" y="2376641"/>
          <a:ext cx="2317771" cy="21293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SV" sz="600" b="1">
              <a:solidFill>
                <a:schemeClr val="tx1"/>
              </a:solidFill>
            </a:rPr>
            <a:t>Fuente: Ministerio</a:t>
          </a:r>
          <a:r>
            <a:rPr lang="es-SV" sz="600" b="1" baseline="0">
              <a:solidFill>
                <a:schemeClr val="tx1"/>
              </a:solidFill>
            </a:rPr>
            <a:t> de Hacienda, Proyecto de Presupuesto 2022</a:t>
          </a:r>
          <a:endParaRPr lang="es-SV" sz="600" b="1">
            <a:solidFill>
              <a:schemeClr val="tx1"/>
            </a:solidFill>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0.01881</cdr:x>
      <cdr:y>0.92957</cdr:y>
    </cdr:from>
    <cdr:to>
      <cdr:x>0.24235</cdr:x>
      <cdr:y>0.97522</cdr:y>
    </cdr:to>
    <cdr:sp macro="" textlink="">
      <cdr:nvSpPr>
        <cdr:cNvPr id="2" name="CuadroTexto 1"/>
        <cdr:cNvSpPr txBox="1"/>
      </cdr:nvSpPr>
      <cdr:spPr>
        <a:xfrm xmlns:a="http://schemas.openxmlformats.org/drawingml/2006/main">
          <a:off x="311337" y="7146036"/>
          <a:ext cx="3699517" cy="35093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SV" sz="700" b="1">
              <a:solidFill>
                <a:sysClr val="windowText" lastClr="000000"/>
              </a:solidFill>
              <a:latin typeface="Tw Cen MT" panose="020B0602020104020603" pitchFamily="34" charset="0"/>
            </a:rPr>
            <a:t>Fuente: Ministerio de Hacienda</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C0EF3-DAEF-4F9A-B7C6-9E5077AEE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13</Pages>
  <Words>2199</Words>
  <Characters>12100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López</dc:creator>
  <cp:keywords/>
  <dc:description/>
  <cp:lastModifiedBy>Cristopher Flamenco</cp:lastModifiedBy>
  <cp:revision>10</cp:revision>
  <cp:lastPrinted>2021-10-28T23:51:00Z</cp:lastPrinted>
  <dcterms:created xsi:type="dcterms:W3CDTF">2021-11-16T00:34:00Z</dcterms:created>
  <dcterms:modified xsi:type="dcterms:W3CDTF">2021-11-22T22:58:00Z</dcterms:modified>
</cp:coreProperties>
</file>